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Bodoni" w:cs="Bodoni" w:eastAsia="Bodoni" w:hAnsi="Bodoni"/>
          <w:b w:val="1"/>
          <w:color w:val="5b9bd5"/>
          <w:sz w:val="72"/>
          <w:szCs w:val="72"/>
        </w:rPr>
      </w:pPr>
      <w:bookmarkStart w:colFirst="0" w:colLast="0" w:name="_heading=h.gjdgxs" w:id="0"/>
      <w:bookmarkEnd w:id="0"/>
      <w:r w:rsidDel="00000000" w:rsidR="00000000" w:rsidRPr="00000000">
        <w:rPr>
          <w:rFonts w:ascii="Bodoni" w:cs="Bodoni" w:eastAsia="Bodoni" w:hAnsi="Bodoni"/>
          <w:b w:val="1"/>
          <w:color w:val="5b9bd5"/>
          <w:sz w:val="72"/>
          <w:szCs w:val="72"/>
        </w:rPr>
        <w:drawing>
          <wp:inline distB="114300" distT="114300" distL="114300" distR="114300">
            <wp:extent cx="2400300" cy="847725"/>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00300" cy="847725"/>
                    </a:xfrm>
                    <a:prstGeom prst="rect"/>
                    <a:ln/>
                  </pic:spPr>
                </pic:pic>
              </a:graphicData>
            </a:graphic>
          </wp:inline>
        </w:drawing>
      </w:r>
      <w:r w:rsidDel="00000000" w:rsidR="00000000" w:rsidRPr="00000000">
        <w:rPr>
          <w:rFonts w:ascii="Bodoni" w:cs="Bodoni" w:eastAsia="Bodoni" w:hAnsi="Bodoni"/>
          <w:b w:val="1"/>
          <w:color w:val="5b9bd5"/>
          <w:sz w:val="72"/>
          <w:szCs w:val="72"/>
        </w:rPr>
        <w:drawing>
          <wp:inline distB="114300" distT="114300" distL="114300" distR="114300">
            <wp:extent cx="2924175" cy="676275"/>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92417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rFonts w:ascii="Bodoni" w:cs="Bodoni" w:eastAsia="Bodoni" w:hAnsi="Bodoni"/>
          <w:b w:val="1"/>
          <w:color w:val="5b9bd5"/>
          <w:sz w:val="72"/>
          <w:szCs w:val="72"/>
        </w:rPr>
      </w:pPr>
      <w:r w:rsidDel="00000000" w:rsidR="00000000" w:rsidRPr="00000000">
        <w:rPr>
          <w:rtl w:val="0"/>
        </w:rPr>
      </w:r>
    </w:p>
    <w:p w:rsidR="00000000" w:rsidDel="00000000" w:rsidP="00000000" w:rsidRDefault="00000000" w:rsidRPr="00000000" w14:paraId="00000003">
      <w:pPr>
        <w:spacing w:after="0" w:lineRule="auto"/>
        <w:jc w:val="center"/>
        <w:rPr>
          <w:b w:val="1"/>
          <w:color w:val="000000"/>
          <w:sz w:val="72"/>
          <w:szCs w:val="72"/>
        </w:rPr>
      </w:pPr>
      <w:bookmarkStart w:colFirst="0" w:colLast="0" w:name="_heading=h.30j0zll" w:id="1"/>
      <w:bookmarkEnd w:id="1"/>
      <w:r w:rsidDel="00000000" w:rsidR="00000000" w:rsidRPr="00000000">
        <w:rPr>
          <w:rFonts w:ascii="Bodoni" w:cs="Bodoni" w:eastAsia="Bodoni" w:hAnsi="Bodoni"/>
          <w:b w:val="1"/>
          <w:color w:val="5b9bd5"/>
          <w:sz w:val="72"/>
          <w:szCs w:val="72"/>
          <w:rtl w:val="0"/>
        </w:rPr>
        <w:t xml:space="preserve">RevoDx</w:t>
      </w:r>
      <w:r w:rsidDel="00000000" w:rsidR="00000000" w:rsidRPr="00000000">
        <w:rPr>
          <w:rFonts w:ascii="Bodoni" w:cs="Bodoni" w:eastAsia="Bodoni" w:hAnsi="Bodoni"/>
          <w:b w:val="1"/>
          <w:color w:val="000000"/>
          <w:sz w:val="72"/>
          <w:szCs w:val="72"/>
          <w:rtl w:val="0"/>
        </w:rPr>
        <w:t xml:space="preserve"> </w:t>
      </w:r>
      <w:r w:rsidDel="00000000" w:rsidR="00000000" w:rsidRPr="00000000">
        <w:rPr>
          <w:b w:val="1"/>
          <w:color w:val="000000"/>
          <w:sz w:val="72"/>
          <w:szCs w:val="72"/>
          <w:rtl w:val="0"/>
        </w:rPr>
        <w:t xml:space="preserve">Набір для скринінгу 26 генотипів ВПЛ</w:t>
      </w:r>
    </w:p>
    <w:p w:rsidR="00000000" w:rsidDel="00000000" w:rsidP="00000000" w:rsidRDefault="00000000" w:rsidRPr="00000000" w14:paraId="00000004">
      <w:pPr>
        <w:spacing w:after="0" w:lineRule="auto"/>
        <w:jc w:val="center"/>
        <w:rPr>
          <w:rFonts w:ascii="Bodoni" w:cs="Bodoni" w:eastAsia="Bodoni" w:hAnsi="Bodoni"/>
          <w:b w:val="1"/>
          <w:sz w:val="36"/>
          <w:szCs w:val="36"/>
        </w:rPr>
      </w:pPr>
      <w:r w:rsidDel="00000000" w:rsidR="00000000" w:rsidRPr="00000000">
        <w:rPr>
          <w:rFonts w:ascii="Bodoni" w:cs="Bodoni" w:eastAsia="Bodoni" w:hAnsi="Bodoni"/>
          <w:b w:val="1"/>
          <w:sz w:val="36"/>
          <w:szCs w:val="36"/>
          <w:rtl w:val="0"/>
        </w:rPr>
        <w:t xml:space="preserve">(RevoDx HPV 26 Screening Kit)</w:t>
      </w:r>
    </w:p>
    <w:p w:rsidR="00000000" w:rsidDel="00000000" w:rsidP="00000000" w:rsidRDefault="00000000" w:rsidRPr="00000000" w14:paraId="00000005">
      <w:pPr>
        <w:spacing w:after="0" w:lineRule="auto"/>
        <w:jc w:val="center"/>
        <w:rPr>
          <w:rFonts w:ascii="Bodoni" w:cs="Bodoni" w:eastAsia="Bodoni" w:hAnsi="Bodoni"/>
          <w:b w:val="1"/>
          <w:color w:val="000000"/>
          <w:sz w:val="72"/>
          <w:szCs w:val="72"/>
        </w:rPr>
      </w:pPr>
      <w:r w:rsidDel="00000000" w:rsidR="00000000" w:rsidRPr="00000000">
        <w:rPr>
          <w:rtl w:val="0"/>
        </w:rPr>
      </w:r>
    </w:p>
    <w:p w:rsidR="00000000" w:rsidDel="00000000" w:rsidP="00000000" w:rsidRDefault="00000000" w:rsidRPr="00000000" w14:paraId="00000006">
      <w:pPr>
        <w:jc w:val="center"/>
        <w:rPr>
          <w:b w:val="1"/>
          <w:sz w:val="56"/>
          <w:szCs w:val="56"/>
        </w:rPr>
      </w:pPr>
      <w:r w:rsidDel="00000000" w:rsidR="00000000" w:rsidRPr="00000000">
        <w:rPr>
          <w:b w:val="1"/>
          <w:sz w:val="56"/>
          <w:szCs w:val="56"/>
          <w:rtl w:val="0"/>
        </w:rPr>
        <w:t xml:space="preserve">Інструкція з використання</w:t>
      </w:r>
    </w:p>
    <w:p w:rsidR="00000000" w:rsidDel="00000000" w:rsidP="00000000" w:rsidRDefault="00000000" w:rsidRPr="00000000" w14:paraId="00000007">
      <w:pPr>
        <w:jc w:val="center"/>
        <w:rPr>
          <w:b w:val="1"/>
          <w:sz w:val="56"/>
          <w:szCs w:val="56"/>
        </w:rPr>
      </w:pPr>
      <w:r w:rsidDel="00000000" w:rsidR="00000000" w:rsidRPr="00000000">
        <w:rPr>
          <w:rtl w:val="0"/>
        </w:rPr>
      </w:r>
    </w:p>
    <w:p w:rsidR="00000000" w:rsidDel="00000000" w:rsidP="00000000" w:rsidRDefault="00000000" w:rsidRPr="00000000" w14:paraId="00000008">
      <w:pPr>
        <w:jc w:val="center"/>
        <w:rPr>
          <w:rFonts w:ascii="Bodoni" w:cs="Bodoni" w:eastAsia="Bodoni" w:hAnsi="Bodoni"/>
          <w:b w:val="1"/>
          <w:color w:val="000000"/>
          <w:sz w:val="56"/>
          <w:szCs w:val="56"/>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color w:val="000000"/>
          <w:sz w:val="32"/>
          <w:szCs w:val="32"/>
        </w:rPr>
      </w:pPr>
      <w:bookmarkStart w:colFirst="0" w:colLast="0" w:name="_heading=h.1fob9te" w:id="2"/>
      <w:bookmarkEnd w:id="2"/>
      <w:r w:rsidDel="00000000" w:rsidR="00000000" w:rsidRPr="00000000">
        <w:rPr>
          <w:rFonts w:ascii="Arial" w:cs="Arial" w:eastAsia="Arial" w:hAnsi="Arial"/>
          <w:b w:val="1"/>
          <w:sz w:val="32"/>
          <w:szCs w:val="32"/>
          <w:rtl w:val="0"/>
        </w:rPr>
        <w:t xml:space="preserve">Якісне виявлення ДНК 24 генотипів вірусу папіломи людини (ВПЛ) високого онкогенного ризику та 2 низького ризику</w:t>
      </w: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B">
      <w:pPr>
        <w:spacing w:after="0" w:line="240" w:lineRule="auto"/>
        <w:jc w:val="center"/>
        <w:rPr>
          <w:rFonts w:ascii="Liberation Serif" w:cs="Liberation Serif" w:eastAsia="Liberation Serif" w:hAnsi="Liberation Serif"/>
          <w:b w:val="1"/>
          <w:sz w:val="32"/>
          <w:szCs w:val="32"/>
        </w:rPr>
      </w:pPr>
      <w:r w:rsidDel="00000000" w:rsidR="00000000" w:rsidRPr="00000000">
        <w:rPr>
          <w:rFonts w:ascii="Arial" w:cs="Arial" w:eastAsia="Arial" w:hAnsi="Arial"/>
          <w:b w:val="1"/>
          <w:sz w:val="32"/>
          <w:szCs w:val="32"/>
          <w:rtl w:val="0"/>
        </w:rPr>
        <w:t xml:space="preserve">Тільки для професійного використання</w:t>
      </w:r>
      <w:r w:rsidDel="00000000" w:rsidR="00000000" w:rsidRPr="00000000">
        <w:rPr>
          <w:rtl w:val="0"/>
        </w:rPr>
      </w:r>
    </w:p>
    <w:p w:rsidR="00000000" w:rsidDel="00000000" w:rsidP="00000000" w:rsidRDefault="00000000" w:rsidRPr="00000000" w14:paraId="0000000C">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D">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E">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F">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0">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1">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2">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3">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4">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5">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6">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7">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8">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9">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A">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B">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Каталожні номери:</w:t>
      </w:r>
    </w:p>
    <w:p w:rsidR="00000000" w:rsidDel="00000000" w:rsidP="00000000" w:rsidRDefault="00000000" w:rsidRPr="00000000" w14:paraId="0000001C">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anchor allowOverlap="1" behindDoc="0" distB="0" distT="0" distL="0" distR="0" hidden="0" layoutInCell="1" locked="0" relativeHeight="0" simplePos="0">
            <wp:simplePos x="0" y="0"/>
            <wp:positionH relativeFrom="page">
              <wp:posOffset>736762</wp:posOffset>
            </wp:positionH>
            <wp:positionV relativeFrom="page">
              <wp:posOffset>9079041</wp:posOffset>
            </wp:positionV>
            <wp:extent cx="716367" cy="232984"/>
            <wp:effectExtent b="0" l="0" r="0" t="0"/>
            <wp:wrapNone/>
            <wp:docPr id="1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716367" cy="232984"/>
                    </a:xfrm>
                    <a:prstGeom prst="rect"/>
                    <a:ln/>
                  </pic:spPr>
                </pic:pic>
              </a:graphicData>
            </a:graphic>
          </wp:anchor>
        </w:drawing>
      </w:r>
      <w:r w:rsidDel="00000000" w:rsidR="00000000" w:rsidRPr="00000000">
        <w:rPr>
          <w:rFonts w:ascii="Arial" w:cs="Arial" w:eastAsia="Arial" w:hAnsi="Arial"/>
          <w:b w:val="1"/>
          <w:sz w:val="24"/>
          <w:szCs w:val="24"/>
          <w:rtl w:val="0"/>
        </w:rPr>
        <w:t xml:space="preserve">IP202222-25 –  25 тестів</w:t>
      </w:r>
    </w:p>
    <w:p w:rsidR="00000000" w:rsidDel="00000000" w:rsidP="00000000" w:rsidRDefault="00000000" w:rsidRPr="00000000" w14:paraId="0000001D">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IP202222-100 –  100 тестів</w:t>
      </w:r>
    </w:p>
    <w:p w:rsidR="00000000" w:rsidDel="00000000" w:rsidP="00000000" w:rsidRDefault="00000000" w:rsidRPr="00000000" w14:paraId="0000001E">
      <w:pPr>
        <w:widowControl w:val="0"/>
        <w:spacing w:after="0" w:line="240" w:lineRule="auto"/>
        <w:jc w:val="cente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1F">
      <w:pPr>
        <w:widowControl w:val="0"/>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Склад набору</w:t>
      </w:r>
      <w:r w:rsidDel="00000000" w:rsidR="00000000" w:rsidRPr="00000000">
        <w:rPr>
          <w:rtl w:val="0"/>
        </w:rPr>
      </w:r>
    </w:p>
    <w:tbl>
      <w:tblPr>
        <w:tblStyle w:val="Table1"/>
        <w:tblW w:w="6379.0" w:type="dxa"/>
        <w:jc w:val="left"/>
        <w:tblInd w:w="-5.0" w:type="dxa"/>
        <w:tblLayout w:type="fixed"/>
        <w:tblLook w:val="0000"/>
      </w:tblPr>
      <w:tblGrid>
        <w:gridCol w:w="360"/>
        <w:gridCol w:w="3184"/>
        <w:gridCol w:w="1418"/>
        <w:gridCol w:w="1417"/>
        <w:tblGridChange w:id="0">
          <w:tblGrid>
            <w:gridCol w:w="360"/>
            <w:gridCol w:w="3184"/>
            <w:gridCol w:w="1418"/>
            <w:gridCol w:w="1417"/>
          </w:tblGrid>
        </w:tblGridChange>
      </w:tblGrid>
      <w:tr>
        <w:trPr>
          <w:cantSplit w:val="0"/>
          <w:trHeight w:val="3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widowControl w:val="0"/>
              <w:spacing w:after="0" w:line="240" w:lineRule="auto"/>
              <w:jc w:val="both"/>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1">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Назва компонента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widowControl w:val="0"/>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тестів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3">
            <w:pPr>
              <w:widowControl w:val="0"/>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100 </w:t>
            </w:r>
            <w:r w:rsidDel="00000000" w:rsidR="00000000" w:rsidRPr="00000000">
              <w:rPr>
                <w:rFonts w:ascii="Arial" w:cs="Arial" w:eastAsia="Arial" w:hAnsi="Arial"/>
                <w:b w:val="1"/>
                <w:sz w:val="20"/>
                <w:szCs w:val="20"/>
                <w:rtl w:val="0"/>
              </w:rPr>
              <w:t xml:space="preserve">тестів</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4">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5">
            <w:pPr>
              <w:widowControl w:val="0"/>
              <w:spacing w:after="0" w:line="240" w:lineRule="auto"/>
              <w:rPr>
                <w:rFonts w:ascii="Arial" w:cs="Arial" w:eastAsia="Arial" w:hAnsi="Arial"/>
                <w:sz w:val="20"/>
                <w:szCs w:val="20"/>
              </w:rPr>
            </w:pPr>
            <w:bookmarkStart w:colFirst="0" w:colLast="0" w:name="_heading=h.3znysh7" w:id="3"/>
            <w:bookmarkEnd w:id="3"/>
            <w:r w:rsidDel="00000000" w:rsidR="00000000" w:rsidRPr="00000000">
              <w:rPr>
                <w:rFonts w:ascii="Arial" w:cs="Arial" w:eastAsia="Arial" w:hAnsi="Arial"/>
                <w:sz w:val="20"/>
                <w:szCs w:val="20"/>
                <w:rtl w:val="0"/>
              </w:rPr>
              <w:t xml:space="preserve">HPV SMM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1400 мкл</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8">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HPV Enzyme Mix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мкл</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C">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Позитивний контрольний зразок, ПКЗ (Positive Control)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мкл</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0">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Негативний контрольний зразок, НКЗ (Negative Control)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мкл</w:t>
            </w:r>
          </w:p>
        </w:tc>
      </w:tr>
    </w:tbl>
    <w:p w:rsidR="00000000" w:rsidDel="00000000" w:rsidP="00000000" w:rsidRDefault="00000000" w:rsidRPr="00000000" w14:paraId="00000034">
      <w:pPr>
        <w:spacing w:after="0" w:line="240" w:lineRule="auto"/>
        <w:jc w:val="both"/>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Транспортування, зберігання та стабільність</w:t>
      </w: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sz w:val="20"/>
          <w:szCs w:val="20"/>
        </w:rPr>
      </w:pPr>
      <w:bookmarkStart w:colFirst="0" w:colLast="0" w:name="_heading=h.2et92p0" w:id="4"/>
      <w:bookmarkEnd w:id="4"/>
      <w:r w:rsidDel="00000000" w:rsidR="00000000" w:rsidRPr="00000000">
        <w:rPr>
          <w:rFonts w:ascii="Arial" w:cs="Arial" w:eastAsia="Arial" w:hAnsi="Arial"/>
          <w:sz w:val="20"/>
          <w:szCs w:val="20"/>
          <w:rtl w:val="0"/>
        </w:rPr>
        <w:t xml:space="preserve">Набори реагентів бажано транспортувати у замороженому вигляді, допускається транспортування при температурі від +2°C до +8°C. Усі компоненти RevoDx HPV 26 Screening Kit слід зберігати при температурі від -25°C до -15°C. Слід уникати зберігання при більш високих температурах. За умов належного зберігання всі компоненти набору залишаються стабільними до закінчення терміну придатності, вказаного на етикетці продукту. Флакони HPV SMM не можна заморожувати та 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-25°C до -15°C.</w:t>
      </w:r>
    </w:p>
    <w:p w:rsidR="00000000" w:rsidDel="00000000" w:rsidP="00000000" w:rsidRDefault="00000000" w:rsidRPr="00000000" w14:paraId="00000037">
      <w:pPr>
        <w:spacing w:after="0" w:line="240" w:lineRule="auto"/>
        <w:jc w:val="both"/>
        <w:rPr>
          <w:rFonts w:ascii="Mangal" w:cs="Mangal" w:eastAsia="Mangal" w:hAnsi="Mangal"/>
          <w:color w:val="000000"/>
          <w:sz w:val="20"/>
          <w:szCs w:val="20"/>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Передбачене використання</w:t>
      </w: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Набір RevoDx HPV 26 Screening Kit — це ПЛР-тест у режимі реального часу, призначений для якісного виявлення ДНК 24 генотипів вірусу папіломи людини (ВПЛ) високого онкогенного ризику та 2 низького ризику (в одній пробірці).</w:t>
      </w:r>
    </w:p>
    <w:p w:rsidR="00000000" w:rsidDel="00000000" w:rsidP="00000000" w:rsidRDefault="00000000" w:rsidRPr="00000000" w14:paraId="0000003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Позитивні результати не виключають коінфекції з іншими збудниками. Виявлений агент не може бути точною причиною захворювання. Негативні результати тесту ПЛР не виключають можливості, що пацієнт є інфікованим вірусом ВПЛ, а тому не повинні використовуватись як єдине підгрунтя для прийняття рішення про подальші діагностику та лікування пацієнта. Негативні результати варто комбінувати з клінічною картиною, історією пацієнта, та епідеміологічною інформацією.</w:t>
      </w:r>
    </w:p>
    <w:p w:rsidR="00000000" w:rsidDel="00000000" w:rsidP="00000000" w:rsidRDefault="00000000" w:rsidRPr="00000000" w14:paraId="0000003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Набір RevoDx HPV 26 Screening Kit 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w:t>
      </w:r>
      <w:r w:rsidDel="00000000" w:rsidR="00000000" w:rsidRPr="00000000">
        <w:rPr>
          <w:rFonts w:ascii="Arial" w:cs="Arial" w:eastAsia="Arial" w:hAnsi="Arial"/>
          <w:i w:val="1"/>
          <w:sz w:val="20"/>
          <w:szCs w:val="20"/>
          <w:rtl w:val="0"/>
        </w:rPr>
        <w:t xml:space="preserve">in vitro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Набір RevoDx HPV 26 Screening Kit виявляє такі генотипи ВПЛ: </w:t>
      </w:r>
    </w:p>
    <w:p w:rsidR="00000000" w:rsidDel="00000000" w:rsidP="00000000" w:rsidRDefault="00000000" w:rsidRPr="00000000" w14:paraId="0000003F">
      <w:pPr>
        <w:spacing w:after="0" w:line="240" w:lineRule="auto"/>
        <w:jc w:val="both"/>
        <w:rPr>
          <w:rFonts w:ascii="Arial" w:cs="Arial" w:eastAsia="Arial" w:hAnsi="Arial"/>
          <w:sz w:val="20"/>
          <w:szCs w:val="20"/>
        </w:rPr>
      </w:pPr>
      <w:r w:rsidDel="00000000" w:rsidR="00000000" w:rsidRPr="00000000">
        <w:rPr>
          <w:rtl w:val="0"/>
        </w:rPr>
      </w:r>
    </w:p>
    <w:tbl>
      <w:tblPr>
        <w:tblStyle w:val="Table2"/>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7f7f7f" w:val="clear"/>
          </w:tcPr>
          <w:p w:rsidR="00000000" w:rsidDel="00000000" w:rsidP="00000000" w:rsidRDefault="00000000" w:rsidRPr="00000000" w14:paraId="0000004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ДНК 24 генотипів ВПЛ високого онкогенного ризику</w:t>
            </w:r>
          </w:p>
        </w:tc>
      </w:tr>
      <w:tr>
        <w:trPr>
          <w:cantSplit w:val="0"/>
          <w:trHeight w:val="244" w:hRule="atLeast"/>
          <w:tblHeader w:val="0"/>
        </w:trPr>
        <w:tc>
          <w:tcPr/>
          <w:p w:rsidR="00000000" w:rsidDel="00000000" w:rsidP="00000000" w:rsidRDefault="00000000" w:rsidRPr="00000000" w14:paraId="00000041">
            <w:pPr>
              <w:widowControl w:val="1"/>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ВПЛ</w:t>
            </w:r>
            <w:r w:rsidDel="00000000" w:rsidR="00000000" w:rsidRPr="00000000">
              <w:rPr>
                <w:rFonts w:ascii="Arial" w:cs="Arial" w:eastAsia="Arial" w:hAnsi="Arial"/>
                <w:b w:val="1"/>
                <w:color w:val="000000"/>
                <w:sz w:val="18"/>
                <w:szCs w:val="18"/>
                <w:rtl w:val="0"/>
              </w:rPr>
              <w:t xml:space="preserve"> 16, 18, 26, 30, 31, 33, 34, 35, 39, 45, 51, 52, 53, 56, 58, 59, 66, 67, 68, 69, 70, 73, 82 </w:t>
            </w:r>
            <w:r w:rsidDel="00000000" w:rsidR="00000000" w:rsidRPr="00000000">
              <w:rPr>
                <w:rFonts w:ascii="Arial" w:cs="Arial" w:eastAsia="Arial" w:hAnsi="Arial"/>
                <w:b w:val="1"/>
                <w:sz w:val="18"/>
                <w:szCs w:val="18"/>
                <w:rtl w:val="0"/>
              </w:rPr>
              <w:t xml:space="preserve">і</w:t>
            </w:r>
            <w:r w:rsidDel="00000000" w:rsidR="00000000" w:rsidRPr="00000000">
              <w:rPr>
                <w:rFonts w:ascii="Arial" w:cs="Arial" w:eastAsia="Arial" w:hAnsi="Arial"/>
                <w:b w:val="1"/>
                <w:color w:val="000000"/>
                <w:sz w:val="18"/>
                <w:szCs w:val="18"/>
                <w:rtl w:val="0"/>
              </w:rPr>
              <w:t xml:space="preserve"> 97</w:t>
            </w:r>
          </w:p>
        </w:tc>
      </w:tr>
      <w:tr>
        <w:trPr>
          <w:cantSplit w:val="0"/>
          <w:tblHeader w:val="0"/>
        </w:trPr>
        <w:tc>
          <w:tcPr>
            <w:shd w:fill="7f7f7f" w:val="cle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ДНК 2 генотипів ВПЛ низького онкогенного ризику</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3">
            <w:pPr>
              <w:widowControl w:val="1"/>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ВПЛ</w:t>
            </w:r>
            <w:r w:rsidDel="00000000" w:rsidR="00000000" w:rsidRPr="00000000">
              <w:rPr>
                <w:rFonts w:ascii="Arial" w:cs="Arial" w:eastAsia="Arial" w:hAnsi="Arial"/>
                <w:b w:val="1"/>
                <w:color w:val="000000"/>
                <w:sz w:val="18"/>
                <w:szCs w:val="18"/>
                <w:rtl w:val="0"/>
              </w:rPr>
              <w:t xml:space="preserve"> 6 </w:t>
            </w:r>
            <w:r w:rsidDel="00000000" w:rsidR="00000000" w:rsidRPr="00000000">
              <w:rPr>
                <w:rFonts w:ascii="Arial" w:cs="Arial" w:eastAsia="Arial" w:hAnsi="Arial"/>
                <w:b w:val="1"/>
                <w:sz w:val="18"/>
                <w:szCs w:val="18"/>
                <w:rtl w:val="0"/>
              </w:rPr>
              <w:t xml:space="preserve">і</w:t>
            </w:r>
            <w:r w:rsidDel="00000000" w:rsidR="00000000" w:rsidRPr="00000000">
              <w:rPr>
                <w:rFonts w:ascii="Arial" w:cs="Arial" w:eastAsia="Arial" w:hAnsi="Arial"/>
                <w:b w:val="1"/>
                <w:color w:val="000000"/>
                <w:sz w:val="18"/>
                <w:szCs w:val="18"/>
                <w:rtl w:val="0"/>
              </w:rPr>
              <w:t xml:space="preserve">11</w:t>
            </w:r>
          </w:p>
        </w:tc>
      </w:tr>
    </w:tbl>
    <w:p w:rsidR="00000000" w:rsidDel="00000000" w:rsidP="00000000" w:rsidRDefault="00000000" w:rsidRPr="00000000" w14:paraId="0000004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Обмеження щодо використання набору</w:t>
      </w:r>
      <w:r w:rsidDel="00000000" w:rsidR="00000000" w:rsidRPr="00000000">
        <w:rPr>
          <w:rtl w:val="0"/>
        </w:rPr>
      </w:r>
    </w:p>
    <w:p w:rsidR="00000000" w:rsidDel="00000000" w:rsidP="00000000" w:rsidRDefault="00000000" w:rsidRPr="00000000" w14:paraId="00000046">
      <w:pPr>
        <w:widowControl w:val="0"/>
        <w:numPr>
          <w:ilvl w:val="0"/>
          <w:numId w:val="5"/>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Використовувати лише за призначенням.</w:t>
      </w:r>
      <w:r w:rsidDel="00000000" w:rsidR="00000000" w:rsidRPr="00000000">
        <w:rPr>
          <w:rtl w:val="0"/>
        </w:rPr>
      </w:r>
    </w:p>
    <w:p w:rsidR="00000000" w:rsidDel="00000000" w:rsidP="00000000" w:rsidRDefault="00000000" w:rsidRPr="00000000" w14:paraId="00000047">
      <w:pPr>
        <w:widowControl w:val="0"/>
        <w:numPr>
          <w:ilvl w:val="0"/>
          <w:numId w:val="5"/>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Потенційні мутації в цільових областях геномів патогенів, покритих оліго в наборі, можуть призвести до хибно негативних результатів тесту</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48">
      <w:pPr>
        <w:widowControl w:val="0"/>
        <w:numPr>
          <w:ilvl w:val="0"/>
          <w:numId w:val="5"/>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Інгібітори ПЛР в елюатах можуть призвести до хибнонегативних або невалідних результатів тесту.</w:t>
      </w:r>
      <w:r w:rsidDel="00000000" w:rsidR="00000000" w:rsidRPr="00000000">
        <w:rPr>
          <w:rtl w:val="0"/>
        </w:rPr>
      </w:r>
    </w:p>
    <w:p w:rsidR="00000000" w:rsidDel="00000000" w:rsidP="00000000" w:rsidRDefault="00000000" w:rsidRPr="00000000" w14:paraId="00000049">
      <w:pPr>
        <w:widowControl w:val="0"/>
        <w:numPr>
          <w:ilvl w:val="0"/>
          <w:numId w:val="5"/>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Для отримання достовірних результатів необхідно дотримуватись правильних методів збору, транспортування, зберігання та обробки зразків.</w:t>
      </w:r>
      <w:r w:rsidDel="00000000" w:rsidR="00000000" w:rsidRPr="00000000">
        <w:rPr>
          <w:rtl w:val="0"/>
        </w:rPr>
      </w:r>
    </w:p>
    <w:p w:rsidR="00000000" w:rsidDel="00000000" w:rsidP="00000000" w:rsidRDefault="00000000" w:rsidRPr="00000000" w14:paraId="0000004A">
      <w:pPr>
        <w:widowControl w:val="0"/>
        <w:numPr>
          <w:ilvl w:val="0"/>
          <w:numId w:val="5"/>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Набір призначений для професійного використання кваліфікованим персоналом, що пройшов відповідне навчання. </w:t>
      </w:r>
      <w:r w:rsidDel="00000000" w:rsidR="00000000" w:rsidRPr="00000000">
        <w:rPr>
          <w:rtl w:val="0"/>
        </w:rPr>
      </w:r>
    </w:p>
    <w:p w:rsidR="00000000" w:rsidDel="00000000" w:rsidP="00000000" w:rsidRDefault="00000000" w:rsidRPr="00000000" w14:paraId="0000004B">
      <w:pPr>
        <w:widowControl w:val="0"/>
        <w:numPr>
          <w:ilvl w:val="0"/>
          <w:numId w:val="5"/>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Дотримуйтеся інструкцій з використання до наборів для отримання оптимальних результатів ПЛР.</w:t>
      </w:r>
      <w:r w:rsidDel="00000000" w:rsidR="00000000" w:rsidRPr="00000000">
        <w:rPr>
          <w:rtl w:val="0"/>
        </w:rPr>
      </w:r>
    </w:p>
    <w:p w:rsidR="00000000" w:rsidDel="00000000" w:rsidP="00000000" w:rsidRDefault="00000000" w:rsidRPr="00000000" w14:paraId="0000004C">
      <w:pPr>
        <w:widowControl w:val="0"/>
        <w:numPr>
          <w:ilvl w:val="0"/>
          <w:numId w:val="5"/>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Не використовуйте набір після закінчення терміну придатності. Компоненти набору з різних серій не можна змішувати.</w:t>
      </w:r>
      <w:r w:rsidDel="00000000" w:rsidR="00000000" w:rsidRPr="00000000">
        <w:rPr>
          <w:rtl w:val="0"/>
        </w:rPr>
      </w:r>
    </w:p>
    <w:p w:rsidR="00000000" w:rsidDel="00000000" w:rsidP="00000000" w:rsidRDefault="00000000" w:rsidRPr="00000000" w14:paraId="0000004D">
      <w:pPr>
        <w:widowControl w:val="0"/>
        <w:spacing w:after="0" w:line="240" w:lineRule="auto"/>
        <w:ind w:left="142"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E">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Опис продукту</w:t>
      </w: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sz w:val="20"/>
          <w:szCs w:val="20"/>
        </w:rPr>
      </w:pPr>
      <w:bookmarkStart w:colFirst="0" w:colLast="0" w:name="_heading=h.j5s2k0hzsgs8" w:id="5"/>
      <w:bookmarkEnd w:id="5"/>
      <w:r w:rsidDel="00000000" w:rsidR="00000000" w:rsidRPr="00000000">
        <w:rPr>
          <w:rFonts w:ascii="Arial" w:cs="Arial" w:eastAsia="Arial" w:hAnsi="Arial"/>
          <w:sz w:val="20"/>
          <w:szCs w:val="20"/>
          <w:rtl w:val="0"/>
        </w:rPr>
        <w:t xml:space="preserve">Мультиплексна ПЛР у реальному часі технічно здатна виявляти багато типів мікроорганізмів одночасно в різних типах зразків. Чутливість та специфічність цього методу досить висока, </w:t>
      </w:r>
      <w:r w:rsidDel="00000000" w:rsidR="00000000" w:rsidRPr="00000000">
        <w:rPr>
          <w:rFonts w:ascii="Arial" w:cs="Arial" w:eastAsia="Arial" w:hAnsi="Arial"/>
          <w:color w:val="000000"/>
          <w:sz w:val="20"/>
          <w:szCs w:val="20"/>
          <w:rtl w:val="0"/>
        </w:rPr>
        <w:t xml:space="preserve">а час виявлення короткий, що корисно для раннього виявлення інфекцій.</w:t>
      </w:r>
      <w:r w:rsidDel="00000000" w:rsidR="00000000" w:rsidRPr="00000000">
        <w:rPr>
          <w:rtl w:val="0"/>
        </w:rPr>
      </w:r>
    </w:p>
    <w:p w:rsidR="00000000" w:rsidDel="00000000" w:rsidP="00000000" w:rsidRDefault="00000000" w:rsidRPr="00000000" w14:paraId="00000050">
      <w:pPr>
        <w:jc w:val="both"/>
        <w:rPr>
          <w:rFonts w:ascii="Arial" w:cs="Arial" w:eastAsia="Arial" w:hAnsi="Arial"/>
          <w:sz w:val="20"/>
          <w:szCs w:val="20"/>
        </w:rPr>
      </w:pPr>
      <w:bookmarkStart w:colFirst="0" w:colLast="0" w:name="_heading=h.tdvg1n10utwr" w:id="6"/>
      <w:bookmarkEnd w:id="6"/>
      <w:r w:rsidDel="00000000" w:rsidR="00000000" w:rsidRPr="00000000">
        <w:rPr>
          <w:rFonts w:ascii="Arial" w:cs="Arial" w:eastAsia="Arial" w:hAnsi="Arial"/>
          <w:sz w:val="20"/>
          <w:szCs w:val="20"/>
          <w:rtl w:val="0"/>
        </w:rPr>
        <w:t xml:space="preserve">Набір RevoDx HPV 26 Screening Kit — </w:t>
      </w:r>
      <w:r w:rsidDel="00000000" w:rsidR="00000000" w:rsidRPr="00000000">
        <w:rPr>
          <w:rFonts w:ascii="Arial" w:cs="Arial" w:eastAsia="Arial" w:hAnsi="Arial"/>
          <w:color w:val="000000"/>
          <w:sz w:val="20"/>
          <w:szCs w:val="20"/>
          <w:rtl w:val="0"/>
        </w:rPr>
        <w:t xml:space="preserve">це ПЛР-аналіз на основі TagMan-технології, в якому між двома праймерами ПЛР знаходиться внутрішній олігонуклеотидний зонд з флуоресцентною міткою на 5'-кінці і молекулою гасника на 3'-кінці. </w:t>
      </w:r>
      <w:r w:rsidDel="00000000" w:rsidR="00000000" w:rsidRPr="00000000">
        <w:rPr>
          <w:rFonts w:ascii="Arial" w:cs="Arial" w:eastAsia="Arial" w:hAnsi="Arial"/>
          <w:sz w:val="20"/>
          <w:szCs w:val="20"/>
          <w:rtl w:val="0"/>
        </w:rPr>
        <w:t xml:space="preserve">Під час реплікації ДНК у ході ПЛР, мічений флуоресцентним барвником зонд гібридизується з ДНК-матрицею і руйнується 5'-3' ендонуклеазною активністю ДНК-полімерази </w:t>
      </w:r>
      <w:r w:rsidDel="00000000" w:rsidR="00000000" w:rsidRPr="00000000">
        <w:rPr>
          <w:rFonts w:ascii="Arial" w:cs="Arial" w:eastAsia="Arial" w:hAnsi="Arial"/>
          <w:i w:val="1"/>
          <w:sz w:val="20"/>
          <w:szCs w:val="20"/>
          <w:rtl w:val="0"/>
        </w:rPr>
        <w:t xml:space="preserve">Thermus aquaticus</w:t>
      </w:r>
      <w:r w:rsidDel="00000000" w:rsidR="00000000" w:rsidRPr="00000000">
        <w:rPr>
          <w:rFonts w:ascii="Arial" w:cs="Arial" w:eastAsia="Arial" w:hAnsi="Arial"/>
          <w:sz w:val="20"/>
          <w:szCs w:val="20"/>
          <w:rtl w:val="0"/>
        </w:rPr>
        <w:t xml:space="preserve"> (Taq) в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Ct (пороговий цикл) – це номер циклу ампліфікації, при якому флуоресценція реакційної суміші перевищує фіксоване порогове значення. </w:t>
      </w:r>
    </w:p>
    <w:p w:rsidR="00000000" w:rsidDel="00000000" w:rsidP="00000000" w:rsidRDefault="00000000" w:rsidRPr="00000000" w14:paraId="00000051">
      <w:pPr>
        <w:spacing w:after="0" w:lin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Метод виконується безпосередньо на ДНК, виділеній із зразків пацієнта. </w:t>
      </w:r>
      <w:r w:rsidDel="00000000" w:rsidR="00000000" w:rsidRPr="00000000">
        <w:rPr>
          <w:rFonts w:ascii="Arial" w:cs="Arial" w:eastAsia="Arial" w:hAnsi="Arial"/>
          <w:sz w:val="20"/>
          <w:szCs w:val="20"/>
          <w:rtl w:val="0"/>
        </w:rPr>
        <w:t xml:space="preserve">Виявлення ДНК 24 генотипів вірусу папіломи людини (ВПЛ) високого онкогенного ризику і 2 генотипів низького ризику проводиться в одній пробірці, в якій одночасно виявляється РНКаза Р людини. Набір RevoDx HPV 26 Screening Kit використовує РНКазу P людини як внутрішній контроль, який контролює виділення та ампліфікацію мішені.</w:t>
      </w:r>
    </w:p>
    <w:p w:rsidR="00000000" w:rsidDel="00000000" w:rsidP="00000000" w:rsidRDefault="00000000" w:rsidRPr="00000000" w14:paraId="0000005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Прилади</w:t>
      </w:r>
      <w:r w:rsidDel="00000000" w:rsidR="00000000" w:rsidRPr="00000000">
        <w:rPr>
          <w:rtl w:val="0"/>
        </w:rPr>
      </w:r>
    </w:p>
    <w:p w:rsidR="00000000" w:rsidDel="00000000" w:rsidP="00000000" w:rsidRDefault="00000000" w:rsidRPr="00000000" w14:paraId="00000054">
      <w:pPr>
        <w:spacing w:after="0" w:line="240" w:lineRule="auto"/>
        <w:jc w:val="both"/>
        <w:rPr>
          <w:rFonts w:ascii="Arial" w:cs="Arial" w:eastAsia="Arial" w:hAnsi="Arial"/>
          <w:sz w:val="20"/>
          <w:szCs w:val="20"/>
        </w:rPr>
      </w:pPr>
      <w:bookmarkStart w:colFirst="0" w:colLast="0" w:name="_heading=h.3dy6vkm" w:id="7"/>
      <w:bookmarkEnd w:id="7"/>
      <w:r w:rsidDel="00000000" w:rsidR="00000000" w:rsidRPr="00000000">
        <w:rPr>
          <w:rFonts w:ascii="Arial" w:cs="Arial" w:eastAsia="Arial" w:hAnsi="Arial"/>
          <w:sz w:val="20"/>
          <w:szCs w:val="20"/>
          <w:rtl w:val="0"/>
        </w:rPr>
        <w:t xml:space="preserve">Набір RevoDx HPV 26 Screening Kit можна використовувати із ампліфікаторами для ПЛР у реальному часі BIO-RAD CFX96, Tianlong Gentier 96, Applied Biosystems QuantStudio5, а також приладами ДНК-технології серії ДТ (DT-prime, DT-lite). Але RevoDx HPV 26 Screening Kit також може бути сумісним з більшістю ампліфікаторів для ПЛР у реальному часі з каналами </w:t>
      </w:r>
      <w:r w:rsidDel="00000000" w:rsidR="00000000" w:rsidRPr="00000000">
        <w:rPr>
          <w:rFonts w:ascii="Arial" w:cs="Arial" w:eastAsia="Arial" w:hAnsi="Arial"/>
          <w:color w:val="000000"/>
          <w:sz w:val="20"/>
          <w:szCs w:val="20"/>
          <w:rtl w:val="0"/>
        </w:rPr>
        <w:t xml:space="preserve">FAM, HEX </w:t>
      </w:r>
      <w:r w:rsidDel="00000000" w:rsidR="00000000" w:rsidRPr="00000000">
        <w:rPr>
          <w:rFonts w:ascii="Arial" w:cs="Arial" w:eastAsia="Arial" w:hAnsi="Arial"/>
          <w:sz w:val="20"/>
          <w:szCs w:val="20"/>
          <w:rtl w:val="0"/>
        </w:rPr>
        <w:t xml:space="preserve">та</w:t>
      </w:r>
      <w:r w:rsidDel="00000000" w:rsidR="00000000" w:rsidRPr="00000000">
        <w:rPr>
          <w:rFonts w:ascii="Arial" w:cs="Arial" w:eastAsia="Arial" w:hAnsi="Arial"/>
          <w:color w:val="000000"/>
          <w:sz w:val="20"/>
          <w:szCs w:val="20"/>
          <w:rtl w:val="0"/>
        </w:rPr>
        <w:t xml:space="preserve"> Cy </w:t>
      </w:r>
      <w:r w:rsidDel="00000000" w:rsidR="00000000" w:rsidRPr="00000000">
        <w:rPr>
          <w:rFonts w:ascii="Arial" w:cs="Arial" w:eastAsia="Arial" w:hAnsi="Arial"/>
          <w:sz w:val="20"/>
          <w:szCs w:val="20"/>
          <w:rtl w:val="0"/>
        </w:rPr>
        <w:t xml:space="preserve">5.</w:t>
      </w:r>
    </w:p>
    <w:p w:rsidR="00000000" w:rsidDel="00000000" w:rsidP="00000000" w:rsidRDefault="00000000" w:rsidRPr="00000000" w14:paraId="00000055">
      <w:pP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6">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Загальний опис</w:t>
      </w: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Інфекціювання вірусом папіломи людини (ВПЛ) дуже поширене, і ДНК вірусу можна виявити у зразках шкіри, ротової порожнини та аногенітальних органів у майже всіх людей. На даний момент повністю охарактеризовано понад 200 типів ВПЛ, які переважно розділені на три роди: альфа-папіломавірус, бета-папіломавірус і гамапапіломавірус (1). Серед 65 типів ВПЛ, що належать до альфа-папіломавірусу (типи альфа-ВПЛ), певна група вірусів вважаються онкогенними і пов’язаними із розвитком раку шийки матки та його попередників (2). Онкогенні ВПЛ, що спричиняють практично всі види раку шийки матки, філогенетично згруповані в одну групу, що складається з видів Альфа-5, Альфа-6, Альфа-7, Альфа-9 та Альфа-11 (3).</w:t>
      </w:r>
    </w:p>
    <w:p w:rsidR="00000000" w:rsidDel="00000000" w:rsidP="00000000" w:rsidRDefault="00000000" w:rsidRPr="00000000" w14:paraId="0000005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Віруси папіломи людини (ВПЛ) — це ікосаедричні вірусні частинки без оболонки розміром 50–60 нм у діаметрі (4). Ці віруси з дволанцюговою кільцевою ДНК мають розмір генома, близький до 8 кілобаз, який включає відкриті рамки зчитування (ORF), що кодують білки E1–E7, що беруть участь у трансактивації транскрипції, трансформації, реплікації та адаптації вірусу в клітинах-господарях (5).</w:t>
      </w:r>
    </w:p>
    <w:p w:rsidR="00000000" w:rsidDel="00000000" w:rsidP="00000000" w:rsidRDefault="00000000" w:rsidRPr="00000000" w14:paraId="00000059">
      <w:pP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A">
      <w:pPr>
        <w:spacing w:after="0" w:line="240" w:lineRule="auto"/>
        <w:jc w:val="both"/>
        <w:rPr>
          <w:rFonts w:ascii="Liberation Serif" w:cs="Liberation Serif" w:eastAsia="Liberation Serif" w:hAnsi="Liberation Serif"/>
          <w:sz w:val="20"/>
          <w:szCs w:val="20"/>
        </w:rPr>
      </w:pPr>
      <w:r w:rsidDel="00000000" w:rsidR="00000000" w:rsidRPr="00000000">
        <w:rPr>
          <w:rFonts w:ascii="Arial" w:cs="Arial" w:eastAsia="Arial" w:hAnsi="Arial"/>
          <w:b w:val="1"/>
          <w:sz w:val="20"/>
          <w:szCs w:val="20"/>
          <w:rtl w:val="0"/>
        </w:rPr>
        <w:t xml:space="preserve">Список джерел</w:t>
      </w: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1. Bernard HU, Burk RD, Chen Z, van Doorslaer K, zur Hausen H, de Villiers EM, 2010. Classification of papillomaviruses (PVs) based on 189 PV types and proposal of taxonomic amendments. Virology 401, 70–79.</w:t>
      </w:r>
    </w:p>
    <w:p w:rsidR="00000000" w:rsidDel="00000000" w:rsidP="00000000" w:rsidRDefault="00000000" w:rsidRPr="00000000" w14:paraId="0000005C">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 IARC Working Group on the Evaluation of Carcinogenic Risks to Humans, 2012. Biological agents. Volume 100 B. A review of human carcinogens. IARC monographs on the evaluation of carcinogenic risks to humans / World Health Organization, International Agency for Research on Cancer 100, 1–441.</w:t>
      </w:r>
    </w:p>
    <w:p w:rsidR="00000000" w:rsidDel="00000000" w:rsidP="00000000" w:rsidRDefault="00000000" w:rsidRPr="00000000" w14:paraId="0000005D">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3. Burk RD, Chen Z, Van Doorslaer K, 2009. Human papillomaviruses: genetic basis of carcinogenicity. Public Health Genomics 12, 281–290.</w:t>
      </w:r>
    </w:p>
    <w:p w:rsidR="00000000" w:rsidDel="00000000" w:rsidP="00000000" w:rsidRDefault="00000000" w:rsidRPr="00000000" w14:paraId="0000005E">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4. Doorbar, J., Egawa, N., Grifn, H., Kranjec, C. &amp; Murakami, I. Human papillomavirus molecular biology and disease association.</w:t>
      </w:r>
    </w:p>
    <w:p w:rsidR="00000000" w:rsidDel="00000000" w:rsidP="00000000" w:rsidRDefault="00000000" w:rsidRPr="00000000" w14:paraId="0000005F">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5. de Villiers, E.-M., Fauquet, C., Broker, T. R., Bernard, H.-U. &amp; zur Hausen, H. Classifcation of papillomaviruses. Virology 324, 17–27 (2004).</w:t>
      </w:r>
    </w:p>
    <w:p w:rsidR="00000000" w:rsidDel="00000000" w:rsidP="00000000" w:rsidRDefault="00000000" w:rsidRPr="00000000" w14:paraId="00000060">
      <w:pP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Інформація про безпеку</w:t>
      </w: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Клінічні зразки слід розглядати як потенційно інфекційні; з ними слід працювати в зоні біобезпеки 1-го або 2-го рівня, залежно від збудника інфекції.</w:t>
      </w: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Усі отримані відходи слід вважати потенційно інфекційними. З ними слід поводитись та утилізувати відповідно до місцевих правил безпеки.</w:t>
      </w: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Уникайте будь-якого контакту шкіри з реагентами набору. У випадку контакту ретельно промити водою. </w:t>
      </w:r>
      <w:r w:rsidDel="00000000" w:rsidR="00000000" w:rsidRPr="00000000">
        <w:rPr>
          <w:rtl w:val="0"/>
        </w:rPr>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Уникайте розбризкування та утворення аерозолів.</w:t>
      </w:r>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Після роботи із клінічними зразками та реагентами необхідно мити руки. </w:t>
      </w: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Інформацію стосовно хімічного складу та безпечності реагентів тощо (MSDS information) можна отримати від виробника чи його представника за запитом. </w:t>
      </w: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При роботі в лабораторії використовувати ЗІЗ. </w:t>
      </w: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На початку та в кінці роботи дезінфікуйте усі робочі поверхні знезаражуючиими розчинами.</w:t>
      </w: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Переконайтесь, що усі розхідні матеріали мають маркування DNase/RNase-free.</w:t>
      </w:r>
      <w:r w:rsidDel="00000000" w:rsidR="00000000" w:rsidRPr="00000000">
        <w:rPr>
          <w:rtl w:val="0"/>
        </w:rPr>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Використовуйте тільки повірені/калібровані дозатори та наконечники з аерозольним фільтром.</w:t>
      </w: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Зберігайте набір подалі від джерел забруднення нуклеїновими кислотами, особливо продуктами ампліфікації. </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Усі маніпуляції варто проводити в окремих зонах (екстракція НК, приготування реакційних сумішей, ампліфікація). </w:t>
      </w:r>
      <w:r w:rsidDel="00000000" w:rsidR="00000000" w:rsidRPr="00000000">
        <w:rPr>
          <w:rtl w:val="0"/>
        </w:rPr>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Роботи повинні виконуватись в одному напрямку, починаючи із зони екстракції НК і закінчуючи відповідними зонами використання.</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2">
      <w:pPr>
        <w:spacing w:after="0" w:line="36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Характеристики набору</w:t>
      </w:r>
      <w:r w:rsidDel="00000000" w:rsidR="00000000" w:rsidRPr="00000000">
        <w:rPr>
          <w:rtl w:val="0"/>
        </w:rPr>
      </w:r>
    </w:p>
    <w:p w:rsidR="00000000" w:rsidDel="00000000" w:rsidP="00000000" w:rsidRDefault="00000000" w:rsidRPr="00000000" w14:paraId="00000073">
      <w:pPr>
        <w:rPr>
          <w:rFonts w:ascii="Arial" w:cs="Arial" w:eastAsia="Arial" w:hAnsi="Arial"/>
          <w:b w:val="1"/>
          <w:color w:val="000000"/>
          <w:sz w:val="20"/>
          <w:szCs w:val="20"/>
        </w:rPr>
      </w:pPr>
      <w:bookmarkStart w:colFirst="0" w:colLast="0" w:name="_heading=h.4d34og8" w:id="8"/>
      <w:bookmarkEnd w:id="8"/>
      <w:r w:rsidDel="00000000" w:rsidR="00000000" w:rsidRPr="00000000">
        <w:rPr>
          <w:rFonts w:ascii="Arial" w:cs="Arial" w:eastAsia="Arial" w:hAnsi="Arial"/>
          <w:b w:val="1"/>
          <w:sz w:val="20"/>
          <w:szCs w:val="20"/>
          <w:rtl w:val="0"/>
        </w:rPr>
        <w:t xml:space="preserve">Аналітична чутливість</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74">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Для визначення межі виявлення (LoD) була підготовлена серія розведень кожного генотипу, щоб отримати кінцеві концентрації 1620, 540, 180, 60 і 20 МО/мл шляхом розведення зразків – цервікальних мазків, зібраних у негативних осіб, щоб імітувати клінічні зразки. Вірусну ДНК очищали за допомогою RevoDx Viral Nucleic Acid Purification Kit. Кожне розведення було перевірено в 24 повторах. Значення межі виявлення (LoD) було розраховано шляхом пробіт-аналізу. Значення межі виявлення (LoD) становило 48 МО/мл. Це значення LoD було підтверджено тестуванням додаткових 20 повторів із концентрацією 48 МО/мл. Усі 20 повторів дали позитивні результати для кожної мішені, тому було підтверджено, що LoD становить 48 МО/мл.</w:t>
      </w:r>
      <w:r w:rsidDel="00000000" w:rsidR="00000000" w:rsidRPr="00000000">
        <w:rPr>
          <w:rtl w:val="0"/>
        </w:rPr>
      </w:r>
    </w:p>
    <w:p w:rsidR="00000000" w:rsidDel="00000000" w:rsidP="00000000" w:rsidRDefault="00000000" w:rsidRPr="00000000" w14:paraId="00000075">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Інклюзивність</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76">
      <w:pPr>
        <w:rPr>
          <w:rFonts w:ascii="Arial" w:cs="Arial" w:eastAsia="Arial" w:hAnsi="Arial"/>
          <w:sz w:val="20"/>
          <w:szCs w:val="20"/>
        </w:rPr>
      </w:pPr>
      <w:bookmarkStart w:colFirst="0" w:colLast="0" w:name="_heading=h.2s8eyo1" w:id="9"/>
      <w:bookmarkEnd w:id="9"/>
      <w:r w:rsidDel="00000000" w:rsidR="00000000" w:rsidRPr="00000000">
        <w:rPr>
          <w:rFonts w:ascii="Arial" w:cs="Arial" w:eastAsia="Arial" w:hAnsi="Arial"/>
          <w:sz w:val="20"/>
          <w:szCs w:val="20"/>
          <w:rtl w:val="0"/>
        </w:rPr>
        <w:t xml:space="preserve">Аналіз інклюзивності </w:t>
      </w:r>
      <w:r w:rsidDel="00000000" w:rsidR="00000000" w:rsidRPr="00000000">
        <w:rPr>
          <w:rFonts w:ascii="Arial" w:cs="Arial" w:eastAsia="Arial" w:hAnsi="Arial"/>
          <w:i w:val="1"/>
          <w:sz w:val="20"/>
          <w:szCs w:val="20"/>
          <w:rtl w:val="0"/>
        </w:rPr>
        <w:t xml:space="preserve">in silico</w:t>
      </w:r>
      <w:r w:rsidDel="00000000" w:rsidR="00000000" w:rsidRPr="00000000">
        <w:rPr>
          <w:rFonts w:ascii="Arial" w:cs="Arial" w:eastAsia="Arial" w:hAnsi="Arial"/>
          <w:sz w:val="20"/>
          <w:szCs w:val="20"/>
          <w:rtl w:val="0"/>
        </w:rPr>
        <w:t xml:space="preserve"> праймерів та зондів RevoDx HPV 26 Screening Kit був проведений для послідовностей кожного генотипу ВПЛ, доступних у базах даних NCBI. Вирівнювання показало, що ділянки, розпізнані розробленими праймерами та зондами, мають 100% гомологію з усіма доступними послідовностями патогенів з баз/банків даних Національного центру біотехнологічної інформації (NCBI).</w:t>
      </w:r>
    </w:p>
    <w:p w:rsidR="00000000" w:rsidDel="00000000" w:rsidP="00000000" w:rsidRDefault="00000000" w:rsidRPr="00000000" w14:paraId="0000007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Перехресна реактивність</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79">
      <w:pPr>
        <w:spacing w:after="0" w:line="240" w:lineRule="auto"/>
        <w:jc w:val="both"/>
        <w:rPr>
          <w:rFonts w:ascii="Arial" w:cs="Arial" w:eastAsia="Arial" w:hAnsi="Arial"/>
          <w:color w:val="303030"/>
          <w:sz w:val="20"/>
          <w:szCs w:val="20"/>
        </w:rPr>
      </w:pPr>
      <w:r w:rsidDel="00000000" w:rsidR="00000000" w:rsidRPr="00000000">
        <w:rPr>
          <w:rFonts w:ascii="Arial" w:cs="Arial" w:eastAsia="Arial" w:hAnsi="Arial"/>
          <w:color w:val="303030"/>
          <w:sz w:val="20"/>
          <w:szCs w:val="20"/>
          <w:rtl w:val="0"/>
        </w:rPr>
        <w:t xml:space="preserve">Перехресна реактивність набору RevoDx HPV 26 Screening Kit була оцінена як за допомогою аналізу </w:t>
      </w:r>
      <w:r w:rsidDel="00000000" w:rsidR="00000000" w:rsidRPr="00000000">
        <w:rPr>
          <w:rFonts w:ascii="Arial" w:cs="Arial" w:eastAsia="Arial" w:hAnsi="Arial"/>
          <w:i w:val="1"/>
          <w:color w:val="303030"/>
          <w:sz w:val="20"/>
          <w:szCs w:val="20"/>
          <w:rtl w:val="0"/>
        </w:rPr>
        <w:t xml:space="preserve">in silico</w:t>
      </w:r>
      <w:r w:rsidDel="00000000" w:rsidR="00000000" w:rsidRPr="00000000">
        <w:rPr>
          <w:rFonts w:ascii="Arial" w:cs="Arial" w:eastAsia="Arial" w:hAnsi="Arial"/>
          <w:color w:val="303030"/>
          <w:sz w:val="20"/>
          <w:szCs w:val="20"/>
          <w:rtl w:val="0"/>
        </w:rPr>
        <w:t xml:space="preserve">, так і за допомогою тестування методом ПЛР. Аналіз </w:t>
      </w:r>
      <w:r w:rsidDel="00000000" w:rsidR="00000000" w:rsidRPr="00000000">
        <w:rPr>
          <w:rFonts w:ascii="Arial" w:cs="Arial" w:eastAsia="Arial" w:hAnsi="Arial"/>
          <w:i w:val="1"/>
          <w:color w:val="303030"/>
          <w:sz w:val="20"/>
          <w:szCs w:val="20"/>
          <w:rtl w:val="0"/>
        </w:rPr>
        <w:t xml:space="preserve">in silico</w:t>
      </w:r>
      <w:r w:rsidDel="00000000" w:rsidR="00000000" w:rsidRPr="00000000">
        <w:rPr>
          <w:rFonts w:ascii="Arial" w:cs="Arial" w:eastAsia="Arial" w:hAnsi="Arial"/>
          <w:color w:val="303030"/>
          <w:sz w:val="20"/>
          <w:szCs w:val="20"/>
          <w:rtl w:val="0"/>
        </w:rPr>
        <w:t xml:space="preserve"> праймерів і зондів RevoDx HPV 26 Screening Kit проти послідовностей 26 патогенів показав, що набір є специфічним до конкретних мішеней і не дає перехресної реакції з цими патогенами. Перераховані нижче 13 збудників були протестовані  на перехресну реактивність методом ПЛР за допомогою набору RevoDx HPV 26 Screening Kit. Хибнопозитивних результатів не виявлено.</w:t>
      </w:r>
    </w:p>
    <w:p w:rsidR="00000000" w:rsidDel="00000000" w:rsidP="00000000" w:rsidRDefault="00000000" w:rsidRPr="00000000" w14:paraId="0000007A">
      <w:pPr>
        <w:spacing w:after="0" w:line="240" w:lineRule="auto"/>
        <w:jc w:val="both"/>
        <w:rPr>
          <w:rFonts w:ascii="Arial" w:cs="Arial" w:eastAsia="Arial" w:hAnsi="Arial"/>
          <w:color w:val="303030"/>
          <w:sz w:val="20"/>
          <w:szCs w:val="20"/>
        </w:rPr>
      </w:pPr>
      <w:r w:rsidDel="00000000" w:rsidR="00000000" w:rsidRPr="00000000">
        <w:rPr>
          <w:rtl w:val="0"/>
        </w:rPr>
      </w:r>
    </w:p>
    <w:p w:rsidR="00000000" w:rsidDel="00000000" w:rsidP="00000000" w:rsidRDefault="00000000" w:rsidRPr="00000000" w14:paraId="0000007B">
      <w:pPr>
        <w:spacing w:after="0" w:line="240" w:lineRule="auto"/>
        <w:jc w:val="both"/>
        <w:rPr>
          <w:rFonts w:ascii="Arial" w:cs="Arial" w:eastAsia="Arial" w:hAnsi="Arial"/>
          <w:color w:val="303030"/>
          <w:sz w:val="20"/>
          <w:szCs w:val="20"/>
        </w:rPr>
      </w:pPr>
      <w:r w:rsidDel="00000000" w:rsidR="00000000" w:rsidRPr="00000000">
        <w:rPr>
          <w:rFonts w:ascii="Arial" w:cs="Arial" w:eastAsia="Arial" w:hAnsi="Arial"/>
          <w:color w:val="303030"/>
          <w:sz w:val="20"/>
          <w:szCs w:val="20"/>
          <w:rtl w:val="0"/>
        </w:rPr>
        <w:t xml:space="preserve">Нижче наведені результати дослідження перехресної реактивності, як in silico, так і методом ПЛР </w:t>
      </w:r>
    </w:p>
    <w:p w:rsidR="00000000" w:rsidDel="00000000" w:rsidP="00000000" w:rsidRDefault="00000000" w:rsidRPr="00000000" w14:paraId="0000007C">
      <w:pPr>
        <w:spacing w:line="240" w:lineRule="auto"/>
        <w:rPr>
          <w:b w:val="1"/>
          <w:i w:val="1"/>
          <w:sz w:val="20"/>
          <w:szCs w:val="20"/>
        </w:rPr>
      </w:pPr>
      <w:r w:rsidDel="00000000" w:rsidR="00000000" w:rsidRPr="00000000">
        <w:rPr>
          <w:rtl w:val="0"/>
        </w:rPr>
      </w:r>
    </w:p>
    <w:p w:rsidR="00000000" w:rsidDel="00000000" w:rsidP="00000000" w:rsidRDefault="00000000" w:rsidRPr="00000000" w14:paraId="0000007D">
      <w:pPr>
        <w:spacing w:after="0" w:line="240" w:lineRule="auto"/>
        <w:jc w:val="both"/>
        <w:rPr>
          <w:rFonts w:ascii="Arial" w:cs="Arial" w:eastAsia="Arial" w:hAnsi="Arial"/>
          <w:b w:val="1"/>
          <w:sz w:val="20"/>
          <w:szCs w:val="20"/>
        </w:rPr>
      </w:pPr>
      <w:r w:rsidDel="00000000" w:rsidR="00000000" w:rsidRPr="00000000">
        <w:rPr>
          <w:b w:val="1"/>
          <w:i w:val="1"/>
          <w:sz w:val="20"/>
          <w:szCs w:val="20"/>
          <w:rtl w:val="0"/>
        </w:rPr>
        <w:t xml:space="preserve">Аналіз перехресної реакції in silico</w:t>
      </w:r>
      <w:r w:rsidDel="00000000" w:rsidR="00000000" w:rsidRPr="00000000">
        <w:rPr>
          <w:b w:val="1"/>
          <w:sz w:val="20"/>
          <w:szCs w:val="20"/>
          <w:rtl w:val="0"/>
        </w:rPr>
        <w:t xml:space="preserve"> </w:t>
      </w:r>
      <w:r w:rsidDel="00000000" w:rsidR="00000000" w:rsidRPr="00000000">
        <w:rPr>
          <w:rFonts w:ascii="Arial" w:cs="Arial" w:eastAsia="Arial" w:hAnsi="Arial"/>
          <w:b w:val="1"/>
          <w:sz w:val="20"/>
          <w:szCs w:val="20"/>
          <w:rtl w:val="0"/>
        </w:rPr>
        <w:t xml:space="preserve">(проведено 13 лютого 2022 року)</w:t>
      </w:r>
    </w:p>
    <w:tbl>
      <w:tblPr>
        <w:tblStyle w:val="Table3"/>
        <w:tblW w:w="53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2070"/>
        <w:tblGridChange w:id="0">
          <w:tblGrid>
            <w:gridCol w:w="3240"/>
            <w:gridCol w:w="2070"/>
          </w:tblGrid>
        </w:tblGridChange>
      </w:tblGrid>
      <w:tr>
        <w:trPr>
          <w:cantSplit w:val="0"/>
          <w:tblHeader w:val="0"/>
        </w:trPr>
        <w:tc>
          <w:tcPr/>
          <w:p w:rsidR="00000000" w:rsidDel="00000000" w:rsidP="00000000" w:rsidRDefault="00000000" w:rsidRPr="00000000" w14:paraId="0000007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Організм</w:t>
            </w:r>
          </w:p>
        </w:tc>
        <w:tc>
          <w:tcPr/>
          <w:p w:rsidR="00000000" w:rsidDel="00000000" w:rsidP="00000000" w:rsidRDefault="00000000" w:rsidRPr="00000000" w14:paraId="0000007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Результат</w:t>
            </w:r>
          </w:p>
        </w:tc>
      </w:tr>
      <w:tr>
        <w:trPr>
          <w:cantSplit w:val="0"/>
          <w:tblHeader w:val="0"/>
        </w:trPr>
        <w:tc>
          <w:tcPr>
            <w:vAlign w:val="center"/>
          </w:tcPr>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Коронавірус людини 229E</w:t>
            </w:r>
            <w:r w:rsidDel="00000000" w:rsidR="00000000" w:rsidRPr="00000000">
              <w:rPr>
                <w:rtl w:val="0"/>
              </w:rPr>
            </w:r>
          </w:p>
        </w:tc>
        <w:tc>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vAlign w:val="center"/>
          </w:tcPr>
          <w:p w:rsidR="00000000" w:rsidDel="00000000" w:rsidP="00000000" w:rsidRDefault="00000000" w:rsidRPr="00000000" w14:paraId="0000008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Коронавірус людини </w:t>
            </w:r>
            <w:r w:rsidDel="00000000" w:rsidR="00000000" w:rsidRPr="00000000">
              <w:rPr>
                <w:rFonts w:ascii="Arial" w:cs="Arial" w:eastAsia="Arial" w:hAnsi="Arial"/>
                <w:sz w:val="20"/>
                <w:szCs w:val="20"/>
                <w:rtl w:val="0"/>
              </w:rPr>
              <w:t xml:space="preserve">OC43</w:t>
            </w:r>
            <w:r w:rsidDel="00000000" w:rsidR="00000000" w:rsidRPr="00000000">
              <w:rPr>
                <w:rtl w:val="0"/>
              </w:rPr>
            </w:r>
          </w:p>
        </w:tc>
        <w:tc>
          <w:tcPr/>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vAlign w:val="center"/>
          </w:tcPr>
          <w:p w:rsidR="00000000" w:rsidDel="00000000" w:rsidP="00000000" w:rsidRDefault="00000000" w:rsidRPr="00000000" w14:paraId="0000008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Коронавірус людини </w:t>
            </w:r>
            <w:r w:rsidDel="00000000" w:rsidR="00000000" w:rsidRPr="00000000">
              <w:rPr>
                <w:rFonts w:ascii="Arial" w:cs="Arial" w:eastAsia="Arial" w:hAnsi="Arial"/>
                <w:sz w:val="20"/>
                <w:szCs w:val="20"/>
                <w:rtl w:val="0"/>
              </w:rPr>
              <w:t xml:space="preserve">HKU1</w:t>
            </w:r>
            <w:r w:rsidDel="00000000" w:rsidR="00000000" w:rsidRPr="00000000">
              <w:rPr>
                <w:rtl w:val="0"/>
              </w:rPr>
            </w:r>
          </w:p>
        </w:tc>
        <w:tc>
          <w:tcPr/>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vAlign w:val="center"/>
          </w:tcPr>
          <w:p w:rsidR="00000000" w:rsidDel="00000000" w:rsidP="00000000" w:rsidRDefault="00000000" w:rsidRPr="00000000" w14:paraId="0000008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Коронавірус людини </w:t>
            </w:r>
            <w:r w:rsidDel="00000000" w:rsidR="00000000" w:rsidRPr="00000000">
              <w:rPr>
                <w:rFonts w:ascii="Arial" w:cs="Arial" w:eastAsia="Arial" w:hAnsi="Arial"/>
                <w:sz w:val="20"/>
                <w:szCs w:val="20"/>
                <w:rtl w:val="0"/>
              </w:rPr>
              <w:t xml:space="preserve">NL63</w:t>
            </w:r>
            <w:r w:rsidDel="00000000" w:rsidR="00000000" w:rsidRPr="00000000">
              <w:rPr>
                <w:rtl w:val="0"/>
              </w:rPr>
            </w:r>
          </w:p>
        </w:tc>
        <w:tc>
          <w:tcPr/>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vAlign w:val="center"/>
          </w:tcPr>
          <w:p w:rsidR="00000000" w:rsidDel="00000000" w:rsidP="00000000" w:rsidRDefault="00000000" w:rsidRPr="00000000" w14:paraId="00000088">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Коронавірус SARS </w:t>
            </w:r>
            <w:r w:rsidDel="00000000" w:rsidR="00000000" w:rsidRPr="00000000">
              <w:rPr>
                <w:rtl w:val="0"/>
              </w:rPr>
            </w:r>
          </w:p>
        </w:tc>
        <w:tc>
          <w:tcPr/>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8A">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Коронавірус MERS</w:t>
            </w:r>
            <w:r w:rsidDel="00000000" w:rsidR="00000000" w:rsidRPr="00000000">
              <w:rPr>
                <w:rtl w:val="0"/>
              </w:rPr>
            </w:r>
          </w:p>
        </w:tc>
        <w:tc>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8C">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Аденовірус (напр. C1 Ad. 71)</w:t>
            </w:r>
            <w:r w:rsidDel="00000000" w:rsidR="00000000" w:rsidRPr="00000000">
              <w:rPr>
                <w:rtl w:val="0"/>
              </w:rPr>
            </w:r>
          </w:p>
        </w:tc>
        <w:tc>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8E">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Метапневмовірус людини (hMPV)</w:t>
            </w:r>
            <w:r w:rsidDel="00000000" w:rsidR="00000000" w:rsidRPr="00000000">
              <w:rPr>
                <w:rtl w:val="0"/>
              </w:rPr>
            </w:r>
          </w:p>
        </w:tc>
        <w:tc>
          <w:tcPr/>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90">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Вірус паргрипу 1-4 типів</w:t>
            </w:r>
            <w:r w:rsidDel="00000000" w:rsidR="00000000" w:rsidRPr="00000000">
              <w:rPr>
                <w:rtl w:val="0"/>
              </w:rPr>
            </w:r>
          </w:p>
        </w:tc>
        <w:tc>
          <w:tcPr/>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92">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Вірус грипу A та B</w:t>
            </w:r>
            <w:r w:rsidDel="00000000" w:rsidR="00000000" w:rsidRPr="00000000">
              <w:rPr>
                <w:rtl w:val="0"/>
              </w:rPr>
            </w:r>
          </w:p>
        </w:tc>
        <w:tc>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94">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Ентеровірус (напр. EV68)</w:t>
            </w:r>
            <w:r w:rsidDel="00000000" w:rsidR="00000000" w:rsidRPr="00000000">
              <w:rPr>
                <w:rtl w:val="0"/>
              </w:rPr>
            </w:r>
          </w:p>
        </w:tc>
        <w:tc>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96">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Респіраторно-синцитіальний вірус </w:t>
            </w:r>
            <w:r w:rsidDel="00000000" w:rsidR="00000000" w:rsidRPr="00000000">
              <w:rPr>
                <w:rtl w:val="0"/>
              </w:rPr>
            </w:r>
          </w:p>
        </w:tc>
        <w:tc>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Риновірус</w:t>
            </w:r>
          </w:p>
        </w:tc>
        <w:tc>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Chlamydia pneumoniae</w:t>
            </w:r>
            <w:r w:rsidDel="00000000" w:rsidR="00000000" w:rsidRPr="00000000">
              <w:rPr>
                <w:rtl w:val="0"/>
              </w:rPr>
            </w:r>
          </w:p>
        </w:tc>
        <w:tc>
          <w:tcPr/>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Haemophilus influenzae</w:t>
            </w:r>
            <w:r w:rsidDel="00000000" w:rsidR="00000000" w:rsidRPr="00000000">
              <w:rPr>
                <w:rtl w:val="0"/>
              </w:rPr>
            </w:r>
          </w:p>
        </w:tc>
        <w:tc>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Legionella pneumophila</w:t>
            </w:r>
            <w:r w:rsidDel="00000000" w:rsidR="00000000" w:rsidRPr="00000000">
              <w:rPr>
                <w:rtl w:val="0"/>
              </w:rPr>
            </w:r>
          </w:p>
        </w:tc>
        <w:tc>
          <w:tcPr/>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Mycobacterium tuberculosis</w:t>
            </w:r>
            <w:r w:rsidDel="00000000" w:rsidR="00000000" w:rsidRPr="00000000">
              <w:rPr>
                <w:rtl w:val="0"/>
              </w:rPr>
            </w:r>
          </w:p>
        </w:tc>
        <w:tc>
          <w:tcPr/>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Streptococcus pneumoniae</w:t>
            </w:r>
            <w:r w:rsidDel="00000000" w:rsidR="00000000" w:rsidRPr="00000000">
              <w:rPr>
                <w:rtl w:val="0"/>
              </w:rPr>
            </w:r>
          </w:p>
        </w:tc>
        <w:tc>
          <w:tcPr/>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Streptococcus pyogenes</w:t>
            </w:r>
            <w:r w:rsidDel="00000000" w:rsidR="00000000" w:rsidRPr="00000000">
              <w:rPr>
                <w:rtl w:val="0"/>
              </w:rPr>
            </w:r>
          </w:p>
        </w:tc>
        <w:tc>
          <w:tcPr/>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Bordetella pertussis</w:t>
            </w:r>
            <w:r w:rsidDel="00000000" w:rsidR="00000000" w:rsidRPr="00000000">
              <w:rPr>
                <w:rtl w:val="0"/>
              </w:rPr>
            </w:r>
          </w:p>
        </w:tc>
        <w:tc>
          <w:tcPr/>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Mycoplasma pneumoniae</w:t>
            </w:r>
            <w:r w:rsidDel="00000000" w:rsidR="00000000" w:rsidRPr="00000000">
              <w:rPr>
                <w:rtl w:val="0"/>
              </w:rPr>
            </w:r>
          </w:p>
        </w:tc>
        <w:tc>
          <w:tcPr/>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Pneumocystis jirovecii</w:t>
            </w:r>
            <w:r w:rsidDel="00000000" w:rsidR="00000000" w:rsidRPr="00000000">
              <w:rPr>
                <w:rFonts w:ascii="Arial" w:cs="Arial" w:eastAsia="Arial" w:hAnsi="Arial"/>
                <w:sz w:val="20"/>
                <w:szCs w:val="20"/>
                <w:rtl w:val="0"/>
              </w:rPr>
              <w:t xml:space="preserve"> (PJP)</w:t>
            </w:r>
          </w:p>
        </w:tc>
        <w:tc>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Candida albicans</w:t>
            </w:r>
            <w:r w:rsidDel="00000000" w:rsidR="00000000" w:rsidRPr="00000000">
              <w:rPr>
                <w:rtl w:val="0"/>
              </w:rPr>
            </w:r>
          </w:p>
        </w:tc>
        <w:tc>
          <w:tcPr/>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Pseudomonas aeruginosa</w:t>
            </w:r>
            <w:r w:rsidDel="00000000" w:rsidR="00000000" w:rsidRPr="00000000">
              <w:rPr>
                <w:rtl w:val="0"/>
              </w:rPr>
            </w:r>
          </w:p>
        </w:tc>
        <w:tc>
          <w:tcPr/>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Staphylococcus epidermis</w:t>
            </w:r>
            <w:r w:rsidDel="00000000" w:rsidR="00000000" w:rsidRPr="00000000">
              <w:rPr>
                <w:rtl w:val="0"/>
              </w:rPr>
            </w:r>
          </w:p>
        </w:tc>
        <w:tc>
          <w:tcPr/>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Streptococcus salivarius</w:t>
            </w:r>
            <w:r w:rsidDel="00000000" w:rsidR="00000000" w:rsidRPr="00000000">
              <w:rPr>
                <w:rtl w:val="0"/>
              </w:rPr>
            </w:r>
          </w:p>
        </w:tc>
        <w:tc>
          <w:tcPr/>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bl>
    <w:p w:rsidR="00000000" w:rsidDel="00000000" w:rsidP="00000000" w:rsidRDefault="00000000" w:rsidRPr="00000000" w14:paraId="000000B4">
      <w:pPr>
        <w:rPr>
          <w:b w:val="1"/>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b w:val="1"/>
          <w:sz w:val="20"/>
          <w:szCs w:val="20"/>
          <w:rtl w:val="0"/>
        </w:rPr>
        <w:t xml:space="preserve">Аналіз перехресної реактивності методом ПЛР</w:t>
      </w:r>
      <w:r w:rsidDel="00000000" w:rsidR="00000000" w:rsidRPr="00000000">
        <w:rPr>
          <w:rtl w:val="0"/>
        </w:rPr>
      </w:r>
    </w:p>
    <w:tbl>
      <w:tblPr>
        <w:tblStyle w:val="Table4"/>
        <w:tblW w:w="935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1985"/>
        <w:gridCol w:w="2551"/>
        <w:gridCol w:w="1418"/>
        <w:tblGridChange w:id="0">
          <w:tblGrid>
            <w:gridCol w:w="3397"/>
            <w:gridCol w:w="1985"/>
            <w:gridCol w:w="2551"/>
            <w:gridCol w:w="1418"/>
          </w:tblGrid>
        </w:tblGridChange>
      </w:tblGrid>
      <w:tr>
        <w:trPr>
          <w:cantSplit w:val="0"/>
          <w:tblHeader w:val="0"/>
        </w:trPr>
        <w:tc>
          <w:tcPr/>
          <w:p w:rsidR="00000000" w:rsidDel="00000000" w:rsidP="00000000" w:rsidRDefault="00000000" w:rsidRPr="00000000" w14:paraId="000000B6">
            <w:pPr>
              <w:rPr>
                <w:rFonts w:ascii="Arial" w:cs="Arial" w:eastAsia="Arial" w:hAnsi="Arial"/>
                <w:color w:val="303030"/>
                <w:sz w:val="20"/>
                <w:szCs w:val="20"/>
              </w:rPr>
            </w:pPr>
            <w:r w:rsidDel="00000000" w:rsidR="00000000" w:rsidRPr="00000000">
              <w:rPr>
                <w:rFonts w:ascii="Arial" w:cs="Arial" w:eastAsia="Arial" w:hAnsi="Arial"/>
                <w:b w:val="1"/>
                <w:sz w:val="20"/>
                <w:szCs w:val="20"/>
                <w:rtl w:val="0"/>
              </w:rPr>
              <w:t xml:space="preserve">Організм</w:t>
            </w:r>
            <w:r w:rsidDel="00000000" w:rsidR="00000000" w:rsidRPr="00000000">
              <w:rPr>
                <w:rtl w:val="0"/>
              </w:rPr>
            </w:r>
          </w:p>
        </w:tc>
        <w:tc>
          <w:tcPr/>
          <w:p w:rsidR="00000000" w:rsidDel="00000000" w:rsidP="00000000" w:rsidRDefault="00000000" w:rsidRPr="00000000" w14:paraId="000000B7">
            <w:pPr>
              <w:jc w:val="both"/>
              <w:rPr>
                <w:rFonts w:ascii="Arial" w:cs="Arial" w:eastAsia="Arial" w:hAnsi="Arial"/>
                <w:color w:val="303030"/>
                <w:sz w:val="20"/>
                <w:szCs w:val="20"/>
              </w:rPr>
            </w:pPr>
            <w:r w:rsidDel="00000000" w:rsidR="00000000" w:rsidRPr="00000000">
              <w:rPr>
                <w:rFonts w:ascii="Arial" w:cs="Arial" w:eastAsia="Arial" w:hAnsi="Arial"/>
                <w:b w:val="1"/>
                <w:sz w:val="20"/>
                <w:szCs w:val="20"/>
                <w:rtl w:val="0"/>
              </w:rPr>
              <w:t xml:space="preserve">Джерело</w:t>
            </w:r>
            <w:r w:rsidDel="00000000" w:rsidR="00000000" w:rsidRPr="00000000">
              <w:rPr>
                <w:rtl w:val="0"/>
              </w:rPr>
            </w:r>
          </w:p>
        </w:tc>
        <w:tc>
          <w:tcPr/>
          <w:p w:rsidR="00000000" w:rsidDel="00000000" w:rsidP="00000000" w:rsidRDefault="00000000" w:rsidRPr="00000000" w14:paraId="000000B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Концентрація</w:t>
            </w:r>
          </w:p>
        </w:tc>
        <w:tc>
          <w:tcPr/>
          <w:p w:rsidR="00000000" w:rsidDel="00000000" w:rsidP="00000000" w:rsidRDefault="00000000" w:rsidRPr="00000000" w14:paraId="000000B9">
            <w:pPr>
              <w:jc w:val="both"/>
              <w:rPr>
                <w:rFonts w:ascii="Arial" w:cs="Arial" w:eastAsia="Arial" w:hAnsi="Arial"/>
                <w:color w:val="303030"/>
                <w:sz w:val="20"/>
                <w:szCs w:val="20"/>
              </w:rPr>
            </w:pPr>
            <w:r w:rsidDel="00000000" w:rsidR="00000000" w:rsidRPr="00000000">
              <w:rPr>
                <w:rFonts w:ascii="Arial" w:cs="Arial" w:eastAsia="Arial" w:hAnsi="Arial"/>
                <w:b w:val="1"/>
                <w:sz w:val="20"/>
                <w:szCs w:val="20"/>
                <w:rtl w:val="0"/>
              </w:rPr>
              <w:t xml:space="preserve">Результат</w:t>
            </w:r>
            <w:r w:rsidDel="00000000" w:rsidR="00000000" w:rsidRPr="00000000">
              <w:rPr>
                <w:rtl w:val="0"/>
              </w:rPr>
            </w:r>
          </w:p>
        </w:tc>
      </w:tr>
      <w:tr>
        <w:trPr>
          <w:cantSplit w:val="0"/>
          <w:tblHeader w:val="0"/>
        </w:trPr>
        <w:tc>
          <w:tcPr/>
          <w:p w:rsidR="00000000" w:rsidDel="00000000" w:rsidP="00000000" w:rsidRDefault="00000000" w:rsidRPr="00000000" w14:paraId="000000BA">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Коронавірус людини (229E)</w:t>
            </w:r>
          </w:p>
        </w:tc>
        <w:tc>
          <w:tcPr/>
          <w:p w:rsidR="00000000" w:rsidDel="00000000" w:rsidP="00000000" w:rsidRDefault="00000000" w:rsidRPr="00000000" w14:paraId="000000BB">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09/132)</w:t>
            </w:r>
          </w:p>
        </w:tc>
        <w:tc>
          <w:tcPr/>
          <w:p w:rsidR="00000000" w:rsidDel="00000000" w:rsidP="00000000" w:rsidRDefault="00000000" w:rsidRPr="00000000" w14:paraId="000000BC">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0BD">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BE">
            <w:pPr>
              <w:rPr>
                <w:rFonts w:ascii="Arial" w:cs="Arial" w:eastAsia="Arial" w:hAnsi="Arial"/>
                <w:color w:val="303030"/>
                <w:sz w:val="16"/>
                <w:szCs w:val="16"/>
              </w:rPr>
            </w:pPr>
            <w:r w:rsidDel="00000000" w:rsidR="00000000" w:rsidRPr="00000000">
              <w:rPr>
                <w:rFonts w:ascii="Arial" w:cs="Arial" w:eastAsia="Arial" w:hAnsi="Arial"/>
                <w:sz w:val="16"/>
                <w:szCs w:val="16"/>
                <w:rtl w:val="0"/>
              </w:rPr>
              <w:t xml:space="preserve">Риновірус </w:t>
            </w:r>
            <w:r w:rsidDel="00000000" w:rsidR="00000000" w:rsidRPr="00000000">
              <w:rPr>
                <w:rtl w:val="0"/>
              </w:rPr>
            </w:r>
          </w:p>
        </w:tc>
        <w:tc>
          <w:tcPr/>
          <w:p w:rsidR="00000000" w:rsidDel="00000000" w:rsidP="00000000" w:rsidRDefault="00000000" w:rsidRPr="00000000" w14:paraId="000000BF">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08/324)</w:t>
            </w:r>
          </w:p>
        </w:tc>
        <w:tc>
          <w:tcPr/>
          <w:p w:rsidR="00000000" w:rsidDel="00000000" w:rsidP="00000000" w:rsidRDefault="00000000" w:rsidRPr="00000000" w14:paraId="000000C0">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0C1">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C2">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Аденовірус людини</w:t>
            </w:r>
          </w:p>
        </w:tc>
        <w:tc>
          <w:tcPr/>
          <w:p w:rsidR="00000000" w:rsidDel="00000000" w:rsidP="00000000" w:rsidRDefault="00000000" w:rsidRPr="00000000" w14:paraId="000000C3">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16/324)</w:t>
            </w:r>
          </w:p>
        </w:tc>
        <w:tc>
          <w:tcPr/>
          <w:p w:rsidR="00000000" w:rsidDel="00000000" w:rsidP="00000000" w:rsidRDefault="00000000" w:rsidRPr="00000000" w14:paraId="000000C4">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2.0×10</w:t>
            </w:r>
            <w:r w:rsidDel="00000000" w:rsidR="00000000" w:rsidRPr="00000000">
              <w:rPr>
                <w:rFonts w:ascii="Arial" w:cs="Arial" w:eastAsia="Arial" w:hAnsi="Arial"/>
                <w:color w:val="303030"/>
                <w:sz w:val="16"/>
                <w:szCs w:val="16"/>
                <w:vertAlign w:val="superscript"/>
                <w:rtl w:val="0"/>
              </w:rPr>
              <w:t xml:space="preserve">8 </w:t>
            </w:r>
            <w:r w:rsidDel="00000000" w:rsidR="00000000" w:rsidRPr="00000000">
              <w:rPr>
                <w:rFonts w:ascii="Arial" w:cs="Arial" w:eastAsia="Arial" w:hAnsi="Arial"/>
                <w:color w:val="303030"/>
                <w:sz w:val="16"/>
                <w:szCs w:val="16"/>
                <w:rtl w:val="0"/>
              </w:rPr>
              <w:t xml:space="preserve">МО/мл</w:t>
            </w:r>
          </w:p>
        </w:tc>
        <w:tc>
          <w:tcPr/>
          <w:p w:rsidR="00000000" w:rsidDel="00000000" w:rsidP="00000000" w:rsidRDefault="00000000" w:rsidRPr="00000000" w14:paraId="000000C5">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C6">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грипу (A/Christchurch/1/2003, H1N1)</w:t>
            </w:r>
          </w:p>
        </w:tc>
        <w:tc>
          <w:tcPr/>
          <w:p w:rsidR="00000000" w:rsidDel="00000000" w:rsidP="00000000" w:rsidRDefault="00000000" w:rsidRPr="00000000" w14:paraId="000000C7">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07/296)</w:t>
            </w:r>
          </w:p>
        </w:tc>
        <w:tc>
          <w:tcPr/>
          <w:p w:rsidR="00000000" w:rsidDel="00000000" w:rsidP="00000000" w:rsidRDefault="00000000" w:rsidRPr="00000000" w14:paraId="000000C8">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0C9">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CA">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грипу (A/Wyoming/3/2003, H3N2)</w:t>
            </w:r>
          </w:p>
        </w:tc>
        <w:tc>
          <w:tcPr/>
          <w:p w:rsidR="00000000" w:rsidDel="00000000" w:rsidP="00000000" w:rsidRDefault="00000000" w:rsidRPr="00000000" w14:paraId="000000CB">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07/298)</w:t>
            </w:r>
          </w:p>
        </w:tc>
        <w:tc>
          <w:tcPr/>
          <w:p w:rsidR="00000000" w:rsidDel="00000000" w:rsidP="00000000" w:rsidRDefault="00000000" w:rsidRPr="00000000" w14:paraId="000000CC">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0CD">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CE">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грипу (B/Jiangsu/10/2003)</w:t>
            </w:r>
          </w:p>
        </w:tc>
        <w:tc>
          <w:tcPr/>
          <w:p w:rsidR="00000000" w:rsidDel="00000000" w:rsidP="00000000" w:rsidRDefault="00000000" w:rsidRPr="00000000" w14:paraId="000000CF">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07/300)</w:t>
            </w:r>
          </w:p>
        </w:tc>
        <w:tc>
          <w:tcPr/>
          <w:p w:rsidR="00000000" w:rsidDel="00000000" w:rsidP="00000000" w:rsidRDefault="00000000" w:rsidRPr="00000000" w14:paraId="000000D0">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0D1">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D2">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імунодефіциту людини 1 типу (ВІЛ-1, HIV-1)</w:t>
            </w:r>
          </w:p>
        </w:tc>
        <w:tc>
          <w:tcPr/>
          <w:p w:rsidR="00000000" w:rsidDel="00000000" w:rsidP="00000000" w:rsidRDefault="00000000" w:rsidRPr="00000000" w14:paraId="000000D3">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16/194)</w:t>
            </w:r>
          </w:p>
        </w:tc>
        <w:tc>
          <w:tcPr/>
          <w:p w:rsidR="00000000" w:rsidDel="00000000" w:rsidP="00000000" w:rsidRDefault="00000000" w:rsidRPr="00000000" w14:paraId="000000D4">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1.25×10</w:t>
            </w:r>
            <w:r w:rsidDel="00000000" w:rsidR="00000000" w:rsidRPr="00000000">
              <w:rPr>
                <w:rFonts w:ascii="Arial" w:cs="Arial" w:eastAsia="Arial" w:hAnsi="Arial"/>
                <w:color w:val="303030"/>
                <w:sz w:val="16"/>
                <w:szCs w:val="16"/>
                <w:vertAlign w:val="superscript"/>
                <w:rtl w:val="0"/>
              </w:rPr>
              <w:t xml:space="preserve">5 </w:t>
            </w:r>
            <w:r w:rsidDel="00000000" w:rsidR="00000000" w:rsidRPr="00000000">
              <w:rPr>
                <w:rFonts w:ascii="Arial" w:cs="Arial" w:eastAsia="Arial" w:hAnsi="Arial"/>
                <w:color w:val="303030"/>
                <w:sz w:val="16"/>
                <w:szCs w:val="16"/>
                <w:rtl w:val="0"/>
              </w:rPr>
              <w:t xml:space="preserve">МО/мл</w:t>
            </w:r>
          </w:p>
        </w:tc>
        <w:tc>
          <w:tcPr/>
          <w:p w:rsidR="00000000" w:rsidDel="00000000" w:rsidP="00000000" w:rsidRDefault="00000000" w:rsidRPr="00000000" w14:paraId="000000D5">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D6">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імунодефіциту людини 2 типу (ВІЛ-2, HIV-2)</w:t>
            </w:r>
          </w:p>
        </w:tc>
        <w:tc>
          <w:tcPr/>
          <w:p w:rsidR="00000000" w:rsidDel="00000000" w:rsidP="00000000" w:rsidRDefault="00000000" w:rsidRPr="00000000" w14:paraId="000000D7">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16/296)</w:t>
            </w:r>
          </w:p>
        </w:tc>
        <w:tc>
          <w:tcPr/>
          <w:p w:rsidR="00000000" w:rsidDel="00000000" w:rsidP="00000000" w:rsidRDefault="00000000" w:rsidRPr="00000000" w14:paraId="000000D8">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2.8×10</w:t>
            </w:r>
            <w:r w:rsidDel="00000000" w:rsidR="00000000" w:rsidRPr="00000000">
              <w:rPr>
                <w:rFonts w:ascii="Arial" w:cs="Arial" w:eastAsia="Arial" w:hAnsi="Arial"/>
                <w:color w:val="303030"/>
                <w:sz w:val="16"/>
                <w:szCs w:val="16"/>
                <w:vertAlign w:val="superscript"/>
                <w:rtl w:val="0"/>
              </w:rPr>
              <w:t xml:space="preserve">5 </w:t>
            </w:r>
            <w:r w:rsidDel="00000000" w:rsidR="00000000" w:rsidRPr="00000000">
              <w:rPr>
                <w:rFonts w:ascii="Arial" w:cs="Arial" w:eastAsia="Arial" w:hAnsi="Arial"/>
                <w:color w:val="303030"/>
                <w:sz w:val="16"/>
                <w:szCs w:val="16"/>
                <w:rtl w:val="0"/>
              </w:rPr>
              <w:t xml:space="preserve">МО/мл</w:t>
            </w:r>
          </w:p>
        </w:tc>
        <w:tc>
          <w:tcPr/>
          <w:p w:rsidR="00000000" w:rsidDel="00000000" w:rsidP="00000000" w:rsidRDefault="00000000" w:rsidRPr="00000000" w14:paraId="000000D9">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DA">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Респіраторно-синцитіальний вірус людини A2</w:t>
            </w:r>
          </w:p>
        </w:tc>
        <w:tc>
          <w:tcPr/>
          <w:p w:rsidR="00000000" w:rsidDel="00000000" w:rsidP="00000000" w:rsidRDefault="00000000" w:rsidRPr="00000000" w14:paraId="000000DB">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08/120)</w:t>
            </w:r>
          </w:p>
        </w:tc>
        <w:tc>
          <w:tcPr/>
          <w:p w:rsidR="00000000" w:rsidDel="00000000" w:rsidP="00000000" w:rsidRDefault="00000000" w:rsidRPr="00000000" w14:paraId="000000DC">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0DD">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DE">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парагрипу 1 типу</w:t>
            </w:r>
          </w:p>
        </w:tc>
        <w:tc>
          <w:tcPr/>
          <w:p w:rsidR="00000000" w:rsidDel="00000000" w:rsidP="00000000" w:rsidRDefault="00000000" w:rsidRPr="00000000" w14:paraId="000000DF">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08/176)</w:t>
            </w:r>
          </w:p>
        </w:tc>
        <w:tc>
          <w:tcPr/>
          <w:p w:rsidR="00000000" w:rsidDel="00000000" w:rsidP="00000000" w:rsidRDefault="00000000" w:rsidRPr="00000000" w14:paraId="000000E0">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0E1">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E2">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парагрипу 2 типу</w:t>
            </w:r>
          </w:p>
        </w:tc>
        <w:tc>
          <w:tcPr/>
          <w:p w:rsidR="00000000" w:rsidDel="00000000" w:rsidP="00000000" w:rsidRDefault="00000000" w:rsidRPr="00000000" w14:paraId="000000E3">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08/178)</w:t>
            </w:r>
          </w:p>
        </w:tc>
        <w:tc>
          <w:tcPr/>
          <w:p w:rsidR="00000000" w:rsidDel="00000000" w:rsidP="00000000" w:rsidRDefault="00000000" w:rsidRPr="00000000" w14:paraId="000000E4">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0E5">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E6">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парагрипу 3 типу</w:t>
            </w:r>
          </w:p>
        </w:tc>
        <w:tc>
          <w:tcPr/>
          <w:p w:rsidR="00000000" w:rsidDel="00000000" w:rsidP="00000000" w:rsidRDefault="00000000" w:rsidRPr="00000000" w14:paraId="000000E7">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08/118)</w:t>
            </w:r>
          </w:p>
        </w:tc>
        <w:tc>
          <w:tcPr/>
          <w:p w:rsidR="00000000" w:rsidDel="00000000" w:rsidP="00000000" w:rsidRDefault="00000000" w:rsidRPr="00000000" w14:paraId="000000E8">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0E9">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0EA">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парагрипу 4 типу</w:t>
            </w:r>
          </w:p>
        </w:tc>
        <w:tc>
          <w:tcPr/>
          <w:p w:rsidR="00000000" w:rsidDel="00000000" w:rsidP="00000000" w:rsidRDefault="00000000" w:rsidRPr="00000000" w14:paraId="000000EB">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08/180)</w:t>
            </w:r>
          </w:p>
        </w:tc>
        <w:tc>
          <w:tcPr/>
          <w:p w:rsidR="00000000" w:rsidDel="00000000" w:rsidP="00000000" w:rsidRDefault="00000000" w:rsidRPr="00000000" w14:paraId="000000EC">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0ED">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bl>
    <w:p w:rsidR="00000000" w:rsidDel="00000000" w:rsidP="00000000" w:rsidRDefault="00000000" w:rsidRPr="00000000" w14:paraId="000000EE">
      <w:pP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EF">
      <w:pP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Порівняльні клінічні випробування:</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F0">
      <w:pPr>
        <w:rPr>
          <w:rFonts w:ascii="Arial" w:cs="Arial" w:eastAsia="Arial" w:hAnsi="Arial"/>
          <w:color w:val="303030"/>
          <w:sz w:val="20"/>
          <w:szCs w:val="20"/>
        </w:rPr>
      </w:pPr>
      <w:r w:rsidDel="00000000" w:rsidR="00000000" w:rsidRPr="00000000">
        <w:rPr>
          <w:rFonts w:ascii="Arial" w:cs="Arial" w:eastAsia="Arial" w:hAnsi="Arial"/>
          <w:color w:val="303030"/>
          <w:sz w:val="20"/>
          <w:szCs w:val="20"/>
          <w:rtl w:val="0"/>
        </w:rPr>
        <w:t xml:space="preserve">Ефективність роботи набору для скринінгу RevoDx HPV 26 Screening Kit оцінювали за допомогою архівних цервікальних мазків. Для кожного генотипу було протестовано загалом 20 позитивних і 20 негативних зразків у рандомізованому сліпому дослідженні. Усі 20 позитивних зразків і 20 негативних зразків були отримані з лабораторії державної лікарні і попередньо протестовані за допомогою валідованого порівняльного аналізу. Зразки були виділені за допомогою RevoDx Набору для очищення вірусної НК (RevoDx Viral Nucleic Acid Purification Kit) відповідно до інструкції з використання до продукту. Потім проводили аналіз методом ПЛР за допомогою набору RevoDx HPV 26 Screening Kit відповідно до інструкції з експлуатації. Для ампліфікації, детектування та аналізу використовували ПЛР-ампліфікатор BIO-RAD CFX96.</w:t>
      </w:r>
    </w:p>
    <w:p w:rsidR="00000000" w:rsidDel="00000000" w:rsidP="00000000" w:rsidRDefault="00000000" w:rsidRPr="00000000" w14:paraId="000000F1">
      <w:pPr>
        <w:rPr>
          <w:rFonts w:ascii="Arial" w:cs="Arial" w:eastAsia="Arial" w:hAnsi="Arial"/>
          <w:color w:val="303030"/>
          <w:sz w:val="20"/>
          <w:szCs w:val="20"/>
        </w:rPr>
      </w:pPr>
      <w:r w:rsidDel="00000000" w:rsidR="00000000" w:rsidRPr="00000000">
        <w:rPr>
          <w:rtl w:val="0"/>
        </w:rPr>
      </w:r>
    </w:p>
    <w:p w:rsidR="00000000" w:rsidDel="00000000" w:rsidP="00000000" w:rsidRDefault="00000000" w:rsidRPr="00000000" w14:paraId="000000F2">
      <w:pPr>
        <w:rPr>
          <w:rFonts w:ascii="Arial" w:cs="Arial" w:eastAsia="Arial" w:hAnsi="Arial"/>
          <w:color w:val="303030"/>
          <w:sz w:val="20"/>
          <w:szCs w:val="20"/>
        </w:rPr>
      </w:pPr>
      <w:r w:rsidDel="00000000" w:rsidR="00000000" w:rsidRPr="00000000">
        <w:rPr>
          <w:rFonts w:ascii="Arial" w:cs="Arial" w:eastAsia="Arial" w:hAnsi="Arial"/>
          <w:color w:val="303030"/>
          <w:sz w:val="20"/>
          <w:szCs w:val="20"/>
          <w:rtl w:val="0"/>
        </w:rPr>
        <w:t xml:space="preserve">За результатами тестування отримали 100% збіг з очікуваними результатами.</w:t>
      </w:r>
    </w:p>
    <w:p w:rsidR="00000000" w:rsidDel="00000000" w:rsidP="00000000" w:rsidRDefault="00000000" w:rsidRPr="00000000" w14:paraId="000000F3">
      <w:pPr>
        <w:spacing w:after="0" w:line="240" w:lineRule="auto"/>
        <w:jc w:val="both"/>
        <w:rPr>
          <w:rFonts w:ascii="Mangal" w:cs="Mangal" w:eastAsia="Mangal" w:hAnsi="Mangal"/>
          <w:color w:val="000000"/>
          <w:sz w:val="24"/>
          <w:szCs w:val="24"/>
        </w:rPr>
      </w:pPr>
      <w:r w:rsidDel="00000000" w:rsidR="00000000" w:rsidRPr="00000000">
        <w:rPr>
          <w:rFonts w:ascii="Arial" w:cs="Arial" w:eastAsia="Arial" w:hAnsi="Arial"/>
          <w:b w:val="1"/>
          <w:sz w:val="24"/>
          <w:szCs w:val="24"/>
          <w:rtl w:val="0"/>
        </w:rPr>
        <w:t xml:space="preserve">Додаткові матеріали та обладнання</w:t>
      </w:r>
      <w:r w:rsidDel="00000000" w:rsidR="00000000" w:rsidRPr="00000000">
        <w:rPr>
          <w:rtl w:val="0"/>
        </w:rPr>
      </w:r>
    </w:p>
    <w:p w:rsidR="00000000" w:rsidDel="00000000" w:rsidP="00000000" w:rsidRDefault="00000000" w:rsidRPr="00000000" w14:paraId="000000F4">
      <w:pPr>
        <w:numPr>
          <w:ilvl w:val="0"/>
          <w:numId w:val="2"/>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Набір для виділення вірусної НК RevoDx Viral Nucleic Acid Purification Kit (Cat. No: IP201906; </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color w:val="000000"/>
          <w:sz w:val="20"/>
          <w:szCs w:val="20"/>
          <w:rtl w:val="0"/>
        </w:rPr>
        <w:t xml:space="preserve">dil</w:t>
      </w: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color w:val="000000"/>
          <w:sz w:val="20"/>
          <w:szCs w:val="20"/>
          <w:rtl w:val="0"/>
        </w:rPr>
        <w:t xml:space="preserve">iotech,</w:t>
      </w:r>
      <w:r w:rsidDel="00000000" w:rsidR="00000000" w:rsidRPr="00000000">
        <w:rPr>
          <w:rFonts w:ascii="Arial" w:cs="Arial" w:eastAsia="Arial" w:hAnsi="Arial"/>
          <w:sz w:val="20"/>
          <w:szCs w:val="20"/>
          <w:rtl w:val="0"/>
        </w:rPr>
        <w:t xml:space="preserve"> Туреччина</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5">
      <w:pPr>
        <w:numPr>
          <w:ilvl w:val="0"/>
          <w:numId w:val="2"/>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Набір для магнітного виділення вірусної НК RevoDx (</w:t>
      </w:r>
      <w:r w:rsidDel="00000000" w:rsidR="00000000" w:rsidRPr="00000000">
        <w:rPr>
          <w:rFonts w:ascii="Arial" w:cs="Arial" w:eastAsia="Arial" w:hAnsi="Arial"/>
          <w:color w:val="000000"/>
          <w:sz w:val="20"/>
          <w:szCs w:val="20"/>
          <w:rtl w:val="0"/>
        </w:rPr>
        <w:t xml:space="preserve">RevoDx Magnetic Viral Nucleic Acid Purification Kit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Cat. No: IP201920; </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color w:val="000000"/>
          <w:sz w:val="20"/>
          <w:szCs w:val="20"/>
          <w:rtl w:val="0"/>
        </w:rPr>
        <w:t xml:space="preserve">dil</w:t>
      </w: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color w:val="000000"/>
          <w:sz w:val="20"/>
          <w:szCs w:val="20"/>
          <w:rtl w:val="0"/>
        </w:rPr>
        <w:t xml:space="preserve">iotech,</w:t>
      </w:r>
      <w:r w:rsidDel="00000000" w:rsidR="00000000" w:rsidRPr="00000000">
        <w:rPr>
          <w:rFonts w:ascii="Arial" w:cs="Arial" w:eastAsia="Arial" w:hAnsi="Arial"/>
          <w:sz w:val="20"/>
          <w:szCs w:val="20"/>
          <w:rtl w:val="0"/>
        </w:rPr>
        <w:t xml:space="preserve">Туреччина</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6">
      <w:pPr>
        <w:numPr>
          <w:ilvl w:val="0"/>
          <w:numId w:val="2"/>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Реагент для виділення ДНК ВПЛ </w:t>
      </w:r>
      <w:r w:rsidDel="00000000" w:rsidR="00000000" w:rsidRPr="00000000">
        <w:rPr>
          <w:rFonts w:ascii="Arial" w:cs="Arial" w:eastAsia="Arial" w:hAnsi="Arial"/>
          <w:color w:val="000000"/>
          <w:sz w:val="20"/>
          <w:szCs w:val="20"/>
          <w:rtl w:val="0"/>
        </w:rPr>
        <w:t xml:space="preserve">DirEXT OneStep (</w:t>
      </w:r>
      <w:r w:rsidDel="00000000" w:rsidR="00000000" w:rsidRPr="00000000">
        <w:rPr>
          <w:rFonts w:ascii="Arial" w:cs="Arial" w:eastAsia="Arial" w:hAnsi="Arial"/>
          <w:sz w:val="20"/>
          <w:szCs w:val="20"/>
          <w:rtl w:val="0"/>
        </w:rPr>
        <w:t xml:space="preserve">DirEXT OneStep HPV DNA Extraction Reagent</w:t>
      </w:r>
      <w:r w:rsidDel="00000000" w:rsidR="00000000" w:rsidRPr="00000000">
        <w:rPr>
          <w:rFonts w:ascii="Arial" w:cs="Arial" w:eastAsia="Arial" w:hAnsi="Arial"/>
          <w:color w:val="000000"/>
          <w:sz w:val="20"/>
          <w:szCs w:val="20"/>
          <w:rtl w:val="0"/>
        </w:rPr>
        <w:t xml:space="preserve">, Cat. No: IP202304; </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color w:val="000000"/>
          <w:sz w:val="20"/>
          <w:szCs w:val="20"/>
          <w:rtl w:val="0"/>
        </w:rPr>
        <w:t xml:space="preserve">dil</w:t>
      </w: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color w:val="000000"/>
          <w:sz w:val="20"/>
          <w:szCs w:val="20"/>
          <w:rtl w:val="0"/>
        </w:rPr>
        <w:t xml:space="preserve">iotech,</w:t>
      </w:r>
      <w:r w:rsidDel="00000000" w:rsidR="00000000" w:rsidRPr="00000000">
        <w:rPr>
          <w:rFonts w:ascii="Arial" w:cs="Arial" w:eastAsia="Arial" w:hAnsi="Arial"/>
          <w:sz w:val="20"/>
          <w:szCs w:val="20"/>
          <w:rtl w:val="0"/>
        </w:rPr>
        <w:t xml:space="preserve"> Туреччина</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7">
      <w:pPr>
        <w:widowControl w:val="0"/>
        <w:numPr>
          <w:ilvl w:val="0"/>
          <w:numId w:val="2"/>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Ампліфікатор для ПЛР у режимі реального часу</w:t>
      </w:r>
      <w:r w:rsidDel="00000000" w:rsidR="00000000" w:rsidRPr="00000000">
        <w:rPr>
          <w:rtl w:val="0"/>
        </w:rPr>
      </w:r>
    </w:p>
    <w:p w:rsidR="00000000" w:rsidDel="00000000" w:rsidP="00000000" w:rsidRDefault="00000000" w:rsidRPr="00000000" w14:paraId="000000F8">
      <w:pPr>
        <w:widowControl w:val="0"/>
        <w:numPr>
          <w:ilvl w:val="0"/>
          <w:numId w:val="2"/>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Відповідні ЗІЗ (халат, рукавички, окуляри, тощо) </w:t>
      </w:r>
      <w:r w:rsidDel="00000000" w:rsidR="00000000" w:rsidRPr="00000000">
        <w:rPr>
          <w:rtl w:val="0"/>
        </w:rPr>
      </w:r>
    </w:p>
    <w:p w:rsidR="00000000" w:rsidDel="00000000" w:rsidP="00000000" w:rsidRDefault="00000000" w:rsidRPr="00000000" w14:paraId="000000F9">
      <w:pPr>
        <w:widowControl w:val="0"/>
        <w:numPr>
          <w:ilvl w:val="0"/>
          <w:numId w:val="2"/>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Мікропіпетки (0.5 мкл – 1000 мкл)</w:t>
      </w:r>
      <w:r w:rsidDel="00000000" w:rsidR="00000000" w:rsidRPr="00000000">
        <w:rPr>
          <w:rtl w:val="0"/>
        </w:rPr>
      </w:r>
    </w:p>
    <w:p w:rsidR="00000000" w:rsidDel="00000000" w:rsidP="00000000" w:rsidRDefault="00000000" w:rsidRPr="00000000" w14:paraId="000000FA">
      <w:pPr>
        <w:widowControl w:val="0"/>
        <w:numPr>
          <w:ilvl w:val="0"/>
          <w:numId w:val="2"/>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Наконечники для дозаторів з аерозольним фільтром та маркуванням DNase/RNase-free </w:t>
      </w:r>
      <w:r w:rsidDel="00000000" w:rsidR="00000000" w:rsidRPr="00000000">
        <w:rPr>
          <w:rtl w:val="0"/>
        </w:rPr>
      </w:r>
    </w:p>
    <w:p w:rsidR="00000000" w:rsidDel="00000000" w:rsidP="00000000" w:rsidRDefault="00000000" w:rsidRPr="00000000" w14:paraId="000000FB">
      <w:pPr>
        <w:widowControl w:val="0"/>
        <w:numPr>
          <w:ilvl w:val="0"/>
          <w:numId w:val="2"/>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Мікропробірки 1,5 мл з маркуванням DNase/RNase-free </w:t>
      </w:r>
      <w:r w:rsidDel="00000000" w:rsidR="00000000" w:rsidRPr="00000000">
        <w:rPr>
          <w:rtl w:val="0"/>
        </w:rPr>
      </w:r>
    </w:p>
    <w:p w:rsidR="00000000" w:rsidDel="00000000" w:rsidP="00000000" w:rsidRDefault="00000000" w:rsidRPr="00000000" w14:paraId="000000FC">
      <w:pPr>
        <w:widowControl w:val="0"/>
        <w:numPr>
          <w:ilvl w:val="0"/>
          <w:numId w:val="2"/>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Вихровий змішувач (вортекс) </w:t>
      </w:r>
      <w:r w:rsidDel="00000000" w:rsidR="00000000" w:rsidRPr="00000000">
        <w:rPr>
          <w:rtl w:val="0"/>
        </w:rPr>
      </w:r>
    </w:p>
    <w:p w:rsidR="00000000" w:rsidDel="00000000" w:rsidP="00000000" w:rsidRDefault="00000000" w:rsidRPr="00000000" w14:paraId="000000FD">
      <w:pPr>
        <w:widowControl w:val="0"/>
        <w:numPr>
          <w:ilvl w:val="0"/>
          <w:numId w:val="2"/>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Настільна мікроцентрифуга для ПЛР-планшетів/стрип-пробірок </w:t>
      </w:r>
      <w:r w:rsidDel="00000000" w:rsidR="00000000" w:rsidRPr="00000000">
        <w:rPr>
          <w:rtl w:val="0"/>
        </w:rPr>
      </w:r>
    </w:p>
    <w:p w:rsidR="00000000" w:rsidDel="00000000" w:rsidP="00000000" w:rsidRDefault="00000000" w:rsidRPr="00000000" w14:paraId="000000FE">
      <w:pPr>
        <w:widowControl w:val="0"/>
        <w:numPr>
          <w:ilvl w:val="0"/>
          <w:numId w:val="2"/>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Настільна мікроцентрифуга для пробірок об'ємом 1,5-2,0 мл </w:t>
      </w:r>
      <w:r w:rsidDel="00000000" w:rsidR="00000000" w:rsidRPr="00000000">
        <w:rPr>
          <w:rtl w:val="0"/>
        </w:rPr>
      </w:r>
    </w:p>
    <w:p w:rsidR="00000000" w:rsidDel="00000000" w:rsidP="00000000" w:rsidRDefault="00000000" w:rsidRPr="00000000" w14:paraId="000000FF">
      <w:pPr>
        <w:widowControl w:val="0"/>
        <w:numPr>
          <w:ilvl w:val="0"/>
          <w:numId w:val="2"/>
        </w:numP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Пробірки або планшети для ПЛР у реальному часі.</w:t>
      </w:r>
      <w:r w:rsidDel="00000000" w:rsidR="00000000" w:rsidRPr="00000000">
        <w:rPr>
          <w:rtl w:val="0"/>
        </w:rPr>
      </w:r>
    </w:p>
    <w:p w:rsidR="00000000" w:rsidDel="00000000" w:rsidP="00000000" w:rsidRDefault="00000000" w:rsidRPr="00000000" w14:paraId="00000100">
      <w:pP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1">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Підготовка зразків</w:t>
      </w:r>
      <w:r w:rsidDel="00000000" w:rsidR="00000000" w:rsidRPr="00000000">
        <w:rPr>
          <w:rtl w:val="0"/>
        </w:rPr>
      </w:r>
    </w:p>
    <w:p w:rsidR="00000000" w:rsidDel="00000000" w:rsidP="00000000" w:rsidRDefault="00000000" w:rsidRPr="00000000" w14:paraId="0000010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Набір </w:t>
      </w:r>
      <w:r w:rsidDel="00000000" w:rsidR="00000000" w:rsidRPr="00000000">
        <w:rPr>
          <w:rFonts w:ascii="Arial" w:cs="Arial" w:eastAsia="Arial" w:hAnsi="Arial"/>
          <w:color w:val="000000"/>
          <w:sz w:val="20"/>
          <w:szCs w:val="20"/>
          <w:rtl w:val="0"/>
        </w:rPr>
        <w:t xml:space="preserve">RevoDx HPV 26 Screening Kit </w:t>
      </w:r>
      <w:r w:rsidDel="00000000" w:rsidR="00000000" w:rsidRPr="00000000">
        <w:rPr>
          <w:rFonts w:ascii="Arial" w:cs="Arial" w:eastAsia="Arial" w:hAnsi="Arial"/>
          <w:sz w:val="20"/>
          <w:szCs w:val="20"/>
          <w:rtl w:val="0"/>
        </w:rPr>
        <w:t xml:space="preserve">валідований для використання зі зразками мазків з шийки матки, вагінальних мазків або рідинних цитологічних зразків. Крім того, всі зразки нуклеїнових кислот, які підходять для аналізів методом ПЛР, можна використовувати з набором для скринінгу RevoDx HPV 26. Клінічні зразки слід розглядати як потенційно інфекційні; під час забору та обробки зразків необхідно дотримуватись запобіжних заходів.</w:t>
      </w:r>
    </w:p>
    <w:p w:rsidR="00000000" w:rsidDel="00000000" w:rsidP="00000000" w:rsidRDefault="00000000" w:rsidRPr="00000000" w14:paraId="000001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rsidR="00000000" w:rsidDel="00000000" w:rsidP="00000000" w:rsidRDefault="00000000" w:rsidRPr="00000000" w14:paraId="000001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Після збору не зберігайте зразки при кімнатній температурі довше 4 годин. Транспортування зразків повинно відповідати національним або місцевим правилам.</w:t>
      </w:r>
    </w:p>
    <w:p w:rsidR="00000000" w:rsidDel="00000000" w:rsidP="00000000" w:rsidRDefault="00000000" w:rsidRPr="00000000" w14:paraId="0000010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Протокол</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107">
      <w:pPr>
        <w:spacing w:after="113" w:before="113" w:line="240" w:lineRule="auto"/>
        <w:jc w:val="both"/>
        <w:rPr>
          <w:rFonts w:ascii="Arial" w:cs="Arial" w:eastAsia="Arial" w:hAnsi="Arial"/>
          <w:sz w:val="20"/>
          <w:szCs w:val="20"/>
        </w:rPr>
      </w:pPr>
      <w:bookmarkStart w:colFirst="0" w:colLast="0" w:name="_heading=h.3rdcrjn" w:id="10"/>
      <w:bookmarkEnd w:id="10"/>
      <w:r w:rsidDel="00000000" w:rsidR="00000000" w:rsidRPr="00000000">
        <w:rPr>
          <w:rFonts w:ascii="Arial" w:cs="Arial" w:eastAsia="Arial" w:hAnsi="Arial"/>
          <w:b w:val="1"/>
          <w:sz w:val="20"/>
          <w:szCs w:val="20"/>
          <w:rtl w:val="0"/>
        </w:rPr>
        <w:t xml:space="preserve">Виділення ДНК</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Для виділення ДНК збудника</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зі зразків мазків з шийки матки, вагінальних мазків або рідинних цитологічних зразків слід використовувати набір </w:t>
      </w:r>
      <w:r w:rsidDel="00000000" w:rsidR="00000000" w:rsidRPr="00000000">
        <w:rPr>
          <w:rFonts w:ascii="Arial" w:cs="Arial" w:eastAsia="Arial" w:hAnsi="Arial"/>
          <w:color w:val="000000"/>
          <w:sz w:val="20"/>
          <w:szCs w:val="20"/>
          <w:rtl w:val="0"/>
        </w:rPr>
        <w:t xml:space="preserve">RevoDx Viral Nucleic Acid Purification Kit </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b w:val="1"/>
          <w:sz w:val="20"/>
          <w:szCs w:val="20"/>
          <w:rtl w:val="0"/>
        </w:rPr>
        <w:t xml:space="preserve">модифікований метод</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або</w:t>
      </w:r>
      <w:r w:rsidDel="00000000" w:rsidR="00000000" w:rsidRPr="00000000">
        <w:rPr>
          <w:rFonts w:ascii="Arial" w:cs="Arial" w:eastAsia="Arial" w:hAnsi="Arial"/>
          <w:color w:val="000000"/>
          <w:sz w:val="20"/>
          <w:szCs w:val="20"/>
          <w:rtl w:val="0"/>
        </w:rPr>
        <w:t xml:space="preserve"> RevoDx </w:t>
      </w:r>
      <w:r w:rsidDel="00000000" w:rsidR="00000000" w:rsidRPr="00000000">
        <w:rPr>
          <w:rFonts w:ascii="Arial" w:cs="Arial" w:eastAsia="Arial" w:hAnsi="Arial"/>
          <w:sz w:val="20"/>
          <w:szCs w:val="20"/>
          <w:rtl w:val="0"/>
        </w:rPr>
        <w:t xml:space="preserve">Magnetic Viral Nucleic Acid</w:t>
      </w:r>
      <w:r w:rsidDel="00000000" w:rsidR="00000000" w:rsidRPr="00000000">
        <w:rPr>
          <w:rFonts w:ascii="Arial" w:cs="Arial" w:eastAsia="Arial" w:hAnsi="Arial"/>
          <w:color w:val="000000"/>
          <w:sz w:val="20"/>
          <w:szCs w:val="20"/>
          <w:rtl w:val="0"/>
        </w:rPr>
        <w:t xml:space="preserve"> Purification Kit </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b w:val="1"/>
          <w:sz w:val="20"/>
          <w:szCs w:val="20"/>
          <w:rtl w:val="0"/>
        </w:rPr>
        <w:t xml:space="preserve">модифікований метод</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sz w:val="20"/>
          <w:szCs w:val="20"/>
          <w:rtl w:val="0"/>
        </w:rPr>
        <w:t xml:space="preserve">, або реагент</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DirEXT OneStep HPV DNA Extraction Reagent</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rsidR="00000000" w:rsidDel="00000000" w:rsidP="00000000" w:rsidRDefault="00000000" w:rsidRPr="00000000" w14:paraId="00000108">
      <w:pPr>
        <w:spacing w:after="113" w:before="113" w:line="240" w:lineRule="auto"/>
        <w:jc w:val="both"/>
        <w:rPr>
          <w:rFonts w:ascii="Arial" w:cs="Arial" w:eastAsia="Arial" w:hAnsi="Arial"/>
          <w:color w:val="000000"/>
          <w:sz w:val="20"/>
          <w:szCs w:val="20"/>
        </w:rPr>
      </w:pPr>
      <w:bookmarkStart w:colFirst="0" w:colLast="0" w:name="_heading=h.skby1t12wb5c" w:id="11"/>
      <w:bookmarkEnd w:id="11"/>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09">
      <w:pPr>
        <w:spacing w:after="113" w:before="113" w:line="240" w:lineRule="auto"/>
        <w:jc w:val="both"/>
        <w:rPr>
          <w:rFonts w:ascii="Arial" w:cs="Arial" w:eastAsia="Arial" w:hAnsi="Arial"/>
          <w:i w:val="1"/>
          <w:color w:val="000000"/>
          <w:sz w:val="16"/>
          <w:szCs w:val="16"/>
        </w:rPr>
      </w:pPr>
      <w:r w:rsidDel="00000000" w:rsidR="00000000" w:rsidRPr="00000000">
        <w:rPr>
          <w:rFonts w:ascii="Arial" w:cs="Arial" w:eastAsia="Arial" w:hAnsi="Arial"/>
          <w:b w:val="1"/>
          <w:i w:val="1"/>
          <w:color w:val="000000"/>
          <w:sz w:val="16"/>
          <w:szCs w:val="16"/>
          <w:rtl w:val="0"/>
        </w:rPr>
        <w:t xml:space="preserve">*</w:t>
      </w:r>
      <w:r w:rsidDel="00000000" w:rsidR="00000000" w:rsidRPr="00000000">
        <w:rPr>
          <w:rFonts w:ascii="Arial" w:cs="Arial" w:eastAsia="Arial" w:hAnsi="Arial"/>
          <w:b w:val="1"/>
          <w:i w:val="1"/>
          <w:sz w:val="16"/>
          <w:szCs w:val="16"/>
          <w:rtl w:val="0"/>
        </w:rPr>
        <w:t xml:space="preserve">Модифікований метод: </w:t>
      </w:r>
      <w:r w:rsidDel="00000000" w:rsidR="00000000" w:rsidRPr="00000000">
        <w:rPr>
          <w:rFonts w:ascii="Arial" w:cs="Arial" w:eastAsia="Arial" w:hAnsi="Arial"/>
          <w:i w:val="1"/>
          <w:sz w:val="16"/>
          <w:szCs w:val="16"/>
          <w:rtl w:val="0"/>
        </w:rPr>
        <w:t xml:space="preserve">перемішайте шляхом імпульсного вортексування та обережно ресуспендуйте епітеліальні клітини в зразках цервікального мазка, вагінальних мазків або рідинних цитологічних зразків. (Примітка: не обертайте та не центрифугуйте зразки). 1 мл зразка перенесіть у мікроцентрифужну пробірку 1,5/2 мл, вільну від ДНКаз/РНКаз, і центрифугуйте при 10 000 x g протягом 2 хвилин. Супернатант видалити і продовжити виконання протоколу.</w:t>
      </w:r>
      <w:r w:rsidDel="00000000" w:rsidR="00000000" w:rsidRPr="00000000">
        <w:rPr>
          <w:rtl w:val="0"/>
        </w:rPr>
      </w:r>
    </w:p>
    <w:p w:rsidR="00000000" w:rsidDel="00000000" w:rsidP="00000000" w:rsidRDefault="00000000" w:rsidRPr="00000000" w14:paraId="0000010A">
      <w:pPr>
        <w:spacing w:after="113" w:before="113" w:line="240" w:lineRule="auto"/>
        <w:jc w:val="both"/>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Внутрішній контроль</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212121"/>
          <w:sz w:val="20"/>
          <w:szCs w:val="20"/>
          <w:rtl w:val="0"/>
        </w:rPr>
        <w:t xml:space="preserve">Внутрішній контроль (ВК) (Hs_RPP30), мішенню якого є РНКаза Р людини, потрібен для підтвердження потраплення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r w:rsidDel="00000000" w:rsidR="00000000" w:rsidRPr="00000000">
        <w:rPr>
          <w:rtl w:val="0"/>
        </w:rPr>
      </w:r>
    </w:p>
    <w:p w:rsidR="00000000" w:rsidDel="00000000" w:rsidP="00000000" w:rsidRDefault="00000000" w:rsidRPr="00000000" w14:paraId="0000010B">
      <w:pPr>
        <w:spacing w:after="113" w:before="113" w:line="240" w:lineRule="auto"/>
        <w:jc w:val="both"/>
        <w:rPr>
          <w:rFonts w:ascii="Arial" w:cs="Arial" w:eastAsia="Arial" w:hAnsi="Arial"/>
          <w:color w:val="212121"/>
          <w:sz w:val="20"/>
          <w:szCs w:val="20"/>
        </w:rPr>
      </w:pPr>
      <w:r w:rsidDel="00000000" w:rsidR="00000000" w:rsidRPr="00000000">
        <w:rPr>
          <w:rFonts w:ascii="Arial" w:cs="Arial" w:eastAsia="Arial" w:hAnsi="Arial"/>
          <w:b w:val="1"/>
          <w:sz w:val="20"/>
          <w:szCs w:val="20"/>
          <w:rtl w:val="0"/>
        </w:rPr>
        <w:t xml:space="preserve">Позитивний контроль:</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Значення Ct позитивного контролю має дорівнювати</w:t>
      </w:r>
      <w:r w:rsidDel="00000000" w:rsidR="00000000" w:rsidRPr="00000000">
        <w:rPr>
          <w:rFonts w:ascii="Arial" w:cs="Arial" w:eastAsia="Arial" w:hAnsi="Arial"/>
          <w:color w:val="212121"/>
          <w:sz w:val="20"/>
          <w:szCs w:val="20"/>
          <w:rtl w:val="0"/>
        </w:rPr>
        <w:t xml:space="preserve"> 28 ± 4, інші значення вказують на наявність проблем.</w:t>
      </w:r>
    </w:p>
    <w:p w:rsidR="00000000" w:rsidDel="00000000" w:rsidP="00000000" w:rsidRDefault="00000000" w:rsidRPr="00000000" w14:paraId="0000010C">
      <w:pP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0D">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Протокол ПЛР</w:t>
      </w:r>
      <w:r w:rsidDel="00000000" w:rsidR="00000000" w:rsidRPr="00000000">
        <w:rPr>
          <w:rtl w:val="0"/>
        </w:rPr>
      </w:r>
    </w:p>
    <w:p w:rsidR="00000000" w:rsidDel="00000000" w:rsidP="00000000" w:rsidRDefault="00000000" w:rsidRPr="00000000" w14:paraId="0000010E">
      <w:pPr>
        <w:widowControl w:val="0"/>
        <w:spacing w:after="0" w:before="60" w:line="240" w:lineRule="auto"/>
        <w:jc w:val="both"/>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sz w:val="20"/>
          <w:szCs w:val="20"/>
          <w:rtl w:val="0"/>
        </w:rPr>
        <w:t xml:space="preserve">Розморозьте всі компоненти при кімнатній температурі, крім HPV Enzyme Mix. Покладіть суміш ферментів HPV на лід. Ретельно перемішайте кожен компонент, потім осадіть краплі короткочасним центрифугуванням. Перенесіть усі реагенти на лід або охолоджуючий блок.</w:t>
      </w:r>
    </w:p>
    <w:p w:rsidR="00000000" w:rsidDel="00000000" w:rsidP="00000000" w:rsidRDefault="00000000" w:rsidRPr="00000000" w14:paraId="0000010F">
      <w:pPr>
        <w:spacing w:after="0" w:before="60" w:line="240" w:lineRule="auto"/>
        <w:jc w:val="both"/>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sz w:val="20"/>
          <w:szCs w:val="20"/>
          <w:rtl w:val="0"/>
        </w:rPr>
        <w:t xml:space="preserve">Кінцевий об’єм реакційної суміші (Master Mix) отримується шляхом множення окремих реакційних об’ємів </w:t>
      </w:r>
      <w:r w:rsidDel="00000000" w:rsidR="00000000" w:rsidRPr="00000000">
        <w:rPr>
          <w:rFonts w:ascii="Arial" w:cs="Arial" w:eastAsia="Arial" w:hAnsi="Arial"/>
          <w:color w:val="000000"/>
          <w:sz w:val="20"/>
          <w:szCs w:val="20"/>
          <w:rtl w:val="0"/>
        </w:rPr>
        <w:t xml:space="preserve"> HPV SMM </w:t>
      </w:r>
      <w:r w:rsidDel="00000000" w:rsidR="00000000" w:rsidRPr="00000000">
        <w:rPr>
          <w:rFonts w:ascii="Arial" w:cs="Arial" w:eastAsia="Arial" w:hAnsi="Arial"/>
          <w:sz w:val="20"/>
          <w:szCs w:val="20"/>
          <w:rtl w:val="0"/>
        </w:rPr>
        <w:t xml:space="preserve">та</w:t>
      </w:r>
      <w:r w:rsidDel="00000000" w:rsidR="00000000" w:rsidRPr="00000000">
        <w:rPr>
          <w:rFonts w:ascii="Arial" w:cs="Arial" w:eastAsia="Arial" w:hAnsi="Arial"/>
          <w:color w:val="000000"/>
          <w:sz w:val="20"/>
          <w:szCs w:val="20"/>
          <w:rtl w:val="0"/>
        </w:rPr>
        <w:t xml:space="preserve"> HPV Enzyme Mix </w:t>
      </w:r>
      <w:r w:rsidDel="00000000" w:rsidR="00000000" w:rsidRPr="00000000">
        <w:rPr>
          <w:rFonts w:ascii="Arial" w:cs="Arial" w:eastAsia="Arial" w:hAnsi="Arial"/>
          <w:sz w:val="20"/>
          <w:szCs w:val="20"/>
          <w:rtl w:val="0"/>
        </w:rPr>
        <w:t xml:space="preserve">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 </w:t>
      </w:r>
    </w:p>
    <w:p w:rsidR="00000000" w:rsidDel="00000000" w:rsidP="00000000" w:rsidRDefault="00000000" w:rsidRPr="00000000" w14:paraId="00000110">
      <w:pPr>
        <w:spacing w:after="0" w:before="60" w:line="240" w:lineRule="auto"/>
        <w:jc w:val="both"/>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sz w:val="20"/>
          <w:szCs w:val="20"/>
          <w:rtl w:val="0"/>
        </w:rPr>
        <w:t xml:space="preserve">Для приготування кожної майстер-суміші додайте</w:t>
      </w:r>
      <w:r w:rsidDel="00000000" w:rsidR="00000000" w:rsidRPr="00000000">
        <w:rPr>
          <w:rFonts w:ascii="Arial" w:cs="Arial" w:eastAsia="Arial" w:hAnsi="Arial"/>
          <w:color w:val="000000"/>
          <w:sz w:val="20"/>
          <w:szCs w:val="20"/>
          <w:rtl w:val="0"/>
        </w:rPr>
        <w:t xml:space="preserve"> 14 </w:t>
      </w:r>
      <w:r w:rsidDel="00000000" w:rsidR="00000000" w:rsidRPr="00000000">
        <w:rPr>
          <w:rFonts w:ascii="Arial" w:cs="Arial" w:eastAsia="Arial" w:hAnsi="Arial"/>
          <w:sz w:val="20"/>
          <w:szCs w:val="20"/>
          <w:rtl w:val="0"/>
        </w:rPr>
        <w:t xml:space="preserve">мл</w:t>
      </w:r>
      <w:r w:rsidDel="00000000" w:rsidR="00000000" w:rsidRPr="00000000">
        <w:rPr>
          <w:rFonts w:ascii="Arial" w:cs="Arial" w:eastAsia="Arial" w:hAnsi="Arial"/>
          <w:color w:val="000000"/>
          <w:sz w:val="20"/>
          <w:szCs w:val="20"/>
          <w:rtl w:val="0"/>
        </w:rPr>
        <w:t xml:space="preserve"> HPV SMM </w:t>
      </w:r>
      <w:r w:rsidDel="00000000" w:rsidR="00000000" w:rsidRPr="00000000">
        <w:rPr>
          <w:rFonts w:ascii="Arial" w:cs="Arial" w:eastAsia="Arial" w:hAnsi="Arial"/>
          <w:sz w:val="20"/>
          <w:szCs w:val="20"/>
          <w:rtl w:val="0"/>
        </w:rPr>
        <w:t xml:space="preserve">та</w:t>
      </w:r>
      <w:r w:rsidDel="00000000" w:rsidR="00000000" w:rsidRPr="00000000">
        <w:rPr>
          <w:rFonts w:ascii="Arial" w:cs="Arial" w:eastAsia="Arial" w:hAnsi="Arial"/>
          <w:color w:val="000000"/>
          <w:sz w:val="20"/>
          <w:szCs w:val="20"/>
          <w:rtl w:val="0"/>
        </w:rPr>
        <w:t xml:space="preserve"> 1 </w:t>
      </w:r>
      <w:r w:rsidDel="00000000" w:rsidR="00000000" w:rsidRPr="00000000">
        <w:rPr>
          <w:rFonts w:ascii="Arial" w:cs="Arial" w:eastAsia="Arial" w:hAnsi="Arial"/>
          <w:sz w:val="20"/>
          <w:szCs w:val="20"/>
          <w:rtl w:val="0"/>
        </w:rPr>
        <w:t xml:space="preserve">мл</w:t>
      </w:r>
      <w:r w:rsidDel="00000000" w:rsidR="00000000" w:rsidRPr="00000000">
        <w:rPr>
          <w:rFonts w:ascii="Arial" w:cs="Arial" w:eastAsia="Arial" w:hAnsi="Arial"/>
          <w:color w:val="000000"/>
          <w:sz w:val="20"/>
          <w:szCs w:val="20"/>
          <w:rtl w:val="0"/>
        </w:rPr>
        <w:t xml:space="preserve"> HPV Enzyme Mix</w:t>
      </w:r>
      <w:r w:rsidDel="00000000" w:rsidR="00000000" w:rsidRPr="00000000">
        <w:rPr>
          <w:rFonts w:ascii="Arial" w:cs="Arial" w:eastAsia="Arial" w:hAnsi="Arial"/>
          <w:sz w:val="20"/>
          <w:szCs w:val="20"/>
          <w:rtl w:val="0"/>
        </w:rPr>
        <w:t xml:space="preserve">для кожного зразка у підготовлені пробірки</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Після приготування майстер-міксів обережно перемішати суміш піпетуванням або на вортексі та осадити краплі короткочасним центрифугуванням. Внести по 15 мкл кожної приготованої суміші у пробірки/планшет для ПЛР. Внести по 5 мкл ПКЗ та НКЗ у відповідні пробірки. Закрити кришки чи заклеїти планшет та осадити краплі центрифугуванням.</w:t>
      </w:r>
    </w:p>
    <w:p w:rsidR="00000000" w:rsidDel="00000000" w:rsidP="00000000" w:rsidRDefault="00000000" w:rsidRPr="00000000" w14:paraId="00000111">
      <w:pPr>
        <w:spacing w:after="0" w:before="60"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sz w:val="20"/>
          <w:szCs w:val="20"/>
          <w:rtl w:val="0"/>
        </w:rPr>
        <w:t xml:space="preserve">Запрограмуйте прилад для ампліфікації згідно протоколу, наведеного у таблиці 1. Вказати об’єм зразка 20 мкл.</w:t>
      </w:r>
      <w:r w:rsidDel="00000000" w:rsidR="00000000" w:rsidRPr="00000000">
        <w:rPr>
          <w:rtl w:val="0"/>
        </w:rPr>
      </w:r>
    </w:p>
    <w:p w:rsidR="00000000" w:rsidDel="00000000" w:rsidP="00000000" w:rsidRDefault="00000000" w:rsidRPr="00000000" w14:paraId="00000112">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3">
      <w:pPr>
        <w:spacing w:after="0" w:line="240" w:lineRule="auto"/>
        <w:jc w:val="both"/>
        <w:rPr>
          <w:rFonts w:ascii="Arial" w:cs="Arial" w:eastAsia="Arial" w:hAnsi="Arial"/>
          <w:color w:val="303030"/>
          <w:sz w:val="20"/>
          <w:szCs w:val="20"/>
        </w:rPr>
      </w:pPr>
      <w:r w:rsidDel="00000000" w:rsidR="00000000" w:rsidRPr="00000000">
        <w:rPr>
          <w:rFonts w:ascii="Arial" w:cs="Arial" w:eastAsia="Arial" w:hAnsi="Arial"/>
          <w:b w:val="1"/>
          <w:color w:val="303030"/>
          <w:sz w:val="20"/>
          <w:szCs w:val="20"/>
          <w:rtl w:val="0"/>
        </w:rPr>
        <w:t xml:space="preserve">Таблиця 1:</w:t>
      </w:r>
      <w:r w:rsidDel="00000000" w:rsidR="00000000" w:rsidRPr="00000000">
        <w:rPr>
          <w:rFonts w:ascii="Arial" w:cs="Arial" w:eastAsia="Arial" w:hAnsi="Arial"/>
          <w:color w:val="303030"/>
          <w:sz w:val="20"/>
          <w:szCs w:val="20"/>
          <w:rtl w:val="0"/>
        </w:rPr>
        <w:t xml:space="preserve"> Програма ампліфікації</w:t>
      </w:r>
    </w:p>
    <w:tbl>
      <w:tblPr>
        <w:tblStyle w:val="Table5"/>
        <w:tblW w:w="4020.0000000000005" w:type="dxa"/>
        <w:jc w:val="left"/>
        <w:tblLayout w:type="fixed"/>
        <w:tblLook w:val="0000"/>
      </w:tblPr>
      <w:tblGrid>
        <w:gridCol w:w="1275"/>
        <w:gridCol w:w="988"/>
        <w:gridCol w:w="1134"/>
        <w:gridCol w:w="623"/>
        <w:tblGridChange w:id="0">
          <w:tblGrid>
            <w:gridCol w:w="1275"/>
            <w:gridCol w:w="988"/>
            <w:gridCol w:w="1134"/>
            <w:gridCol w:w="623"/>
          </w:tblGrid>
        </w:tblGridChange>
      </w:tblGrid>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4">
            <w:pPr>
              <w:spacing w:after="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Назва етапу</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5">
            <w:pPr>
              <w:spacing w:after="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Кількість циклів</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6">
            <w:pPr>
              <w:spacing w:after="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Температура</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7">
            <w:pPr>
              <w:spacing w:after="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Час</w:t>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Активація полімерази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95ºC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 хв</w:t>
            </w:r>
          </w:p>
        </w:tc>
      </w:tr>
      <w:tr>
        <w:trPr>
          <w:cantSplit w:val="0"/>
          <w:trHeight w:val="18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Ампліфікація*</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95ºC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 сек</w:t>
            </w:r>
          </w:p>
        </w:tc>
      </w:tr>
      <w:tr>
        <w:trPr>
          <w:cantSplit w:val="0"/>
          <w:trHeight w:val="18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60ºC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 сек</w:t>
            </w:r>
          </w:p>
        </w:tc>
      </w:tr>
    </w:tbl>
    <w:p w:rsidR="00000000" w:rsidDel="00000000" w:rsidP="00000000" w:rsidRDefault="00000000" w:rsidRPr="00000000" w14:paraId="00000124">
      <w:pPr>
        <w:spacing w:after="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Детекція флуоресценції при 60°C за каналами FAM, HEX та Cy 5 </w:t>
      </w:r>
    </w:p>
    <w:p w:rsidR="00000000" w:rsidDel="00000000" w:rsidP="00000000" w:rsidRDefault="00000000" w:rsidRPr="00000000" w14:paraId="00000125">
      <w:pPr>
        <w:spacing w:after="0" w:before="60" w:line="240" w:lineRule="auto"/>
        <w:jc w:val="both"/>
        <w:rPr>
          <w:rFonts w:ascii="Liberation Serif" w:cs="Liberation Serif" w:eastAsia="Liberation Serif" w:hAnsi="Liberation Serif"/>
          <w:sz w:val="20"/>
          <w:szCs w:val="20"/>
        </w:rPr>
      </w:pPr>
      <w:r w:rsidDel="00000000" w:rsidR="00000000" w:rsidRPr="00000000">
        <w:rPr>
          <w:rtl w:val="0"/>
        </w:rPr>
      </w:r>
    </w:p>
    <w:p w:rsidR="00000000" w:rsidDel="00000000" w:rsidP="00000000" w:rsidRDefault="00000000" w:rsidRPr="00000000" w14:paraId="00000126">
      <w:pPr>
        <w:spacing w:after="0" w:before="60"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sz w:val="20"/>
          <w:szCs w:val="20"/>
          <w:rtl w:val="0"/>
        </w:rPr>
        <w:t xml:space="preserve">Обрати вимірювання рівня флуоресценції при</w:t>
      </w:r>
      <w:r w:rsidDel="00000000" w:rsidR="00000000" w:rsidRPr="00000000">
        <w:rPr>
          <w:rFonts w:ascii="Arial" w:cs="Arial" w:eastAsia="Arial" w:hAnsi="Arial"/>
          <w:color w:val="000000"/>
          <w:sz w:val="20"/>
          <w:szCs w:val="20"/>
          <w:rtl w:val="0"/>
        </w:rPr>
        <w:t xml:space="preserve"> 60°C</w:t>
      </w:r>
      <w:r w:rsidDel="00000000" w:rsidR="00000000" w:rsidRPr="00000000">
        <w:rPr>
          <w:rFonts w:ascii="Arial" w:cs="Arial" w:eastAsia="Arial" w:hAnsi="Arial"/>
          <w:sz w:val="20"/>
          <w:szCs w:val="20"/>
          <w:rtl w:val="0"/>
        </w:rPr>
        <w:t xml:space="preserve"> за каналами</w:t>
      </w:r>
      <w:r w:rsidDel="00000000" w:rsidR="00000000" w:rsidRPr="00000000">
        <w:rPr>
          <w:rFonts w:ascii="Arial" w:cs="Arial" w:eastAsia="Arial" w:hAnsi="Arial"/>
          <w:color w:val="000000"/>
          <w:sz w:val="20"/>
          <w:szCs w:val="20"/>
          <w:rtl w:val="0"/>
        </w:rPr>
        <w:t xml:space="preserve"> FAM, HEX </w:t>
      </w:r>
      <w:r w:rsidDel="00000000" w:rsidR="00000000" w:rsidRPr="00000000">
        <w:rPr>
          <w:rFonts w:ascii="Arial" w:cs="Arial" w:eastAsia="Arial" w:hAnsi="Arial"/>
          <w:sz w:val="20"/>
          <w:szCs w:val="20"/>
          <w:rtl w:val="0"/>
        </w:rPr>
        <w:t xml:space="preserve">та</w:t>
      </w:r>
      <w:r w:rsidDel="00000000" w:rsidR="00000000" w:rsidRPr="00000000">
        <w:rPr>
          <w:rFonts w:ascii="Arial" w:cs="Arial" w:eastAsia="Arial" w:hAnsi="Arial"/>
          <w:color w:val="000000"/>
          <w:sz w:val="20"/>
          <w:szCs w:val="20"/>
          <w:rtl w:val="0"/>
        </w:rPr>
        <w:t xml:space="preserve"> Cy </w:t>
      </w:r>
      <w:r w:rsidDel="00000000" w:rsidR="00000000" w:rsidRPr="00000000">
        <w:rPr>
          <w:rFonts w:ascii="Arial" w:cs="Arial" w:eastAsia="Arial" w:hAnsi="Arial"/>
          <w:sz w:val="20"/>
          <w:szCs w:val="20"/>
          <w:rtl w:val="0"/>
        </w:rPr>
        <w:t xml:space="preserve">5.</w:t>
      </w:r>
      <w:r w:rsidDel="00000000" w:rsidR="00000000" w:rsidRPr="00000000">
        <w:rPr>
          <w:rtl w:val="0"/>
        </w:rPr>
      </w:r>
    </w:p>
    <w:p w:rsidR="00000000" w:rsidDel="00000000" w:rsidP="00000000" w:rsidRDefault="00000000" w:rsidRPr="00000000" w14:paraId="00000127">
      <w:pPr>
        <w:spacing w:after="0" w:before="60" w:line="240" w:lineRule="auto"/>
        <w:jc w:val="both"/>
        <w:rPr>
          <w:rFonts w:ascii="Liberation Serif" w:cs="Liberation Serif" w:eastAsia="Liberation Serif" w:hAnsi="Liberation Serif"/>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sz w:val="20"/>
          <w:szCs w:val="20"/>
          <w:rtl w:val="0"/>
        </w:rPr>
        <w:t xml:space="preserve">Запустити програму. </w:t>
      </w:r>
      <w:r w:rsidDel="00000000" w:rsidR="00000000" w:rsidRPr="00000000">
        <w:rPr>
          <w:rtl w:val="0"/>
        </w:rPr>
      </w:r>
    </w:p>
    <w:p w:rsidR="00000000" w:rsidDel="00000000" w:rsidP="00000000" w:rsidRDefault="00000000" w:rsidRPr="00000000" w14:paraId="00000128">
      <w:pPr>
        <w:spacing w:after="0" w:before="60"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sz w:val="20"/>
          <w:szCs w:val="20"/>
          <w:rtl w:val="0"/>
        </w:rPr>
        <w:t xml:space="preserve">Програмування приладу та аналіз результатів здійснювати відповідно до інструкції виробника.</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29">
      <w:pPr>
        <w:widowControl w:val="0"/>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2A">
      <w:pPr>
        <w:widowControl w:val="0"/>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B">
      <w:pPr>
        <w:widowControl w:val="0"/>
        <w:spacing w:after="0" w:line="240" w:lineRule="auto"/>
        <w:jc w:val="both"/>
        <w:rPr>
          <w:rFonts w:ascii="Liberation Serif" w:cs="Liberation Serif" w:eastAsia="Liberation Serif" w:hAnsi="Liberation Serif"/>
          <w:sz w:val="24"/>
          <w:szCs w:val="24"/>
        </w:rPr>
      </w:pPr>
      <w:r w:rsidDel="00000000" w:rsidR="00000000" w:rsidRPr="00000000">
        <w:rPr>
          <w:rFonts w:ascii="Arial" w:cs="Arial" w:eastAsia="Arial" w:hAnsi="Arial"/>
          <w:b w:val="1"/>
          <w:sz w:val="24"/>
          <w:szCs w:val="24"/>
          <w:rtl w:val="0"/>
        </w:rPr>
        <w:t xml:space="preserve">Аналіз даних</w:t>
      </w:r>
      <w:r w:rsidDel="00000000" w:rsidR="00000000" w:rsidRPr="00000000">
        <w:rPr>
          <w:rtl w:val="0"/>
        </w:rPr>
      </w:r>
    </w:p>
    <w:p w:rsidR="00000000" w:rsidDel="00000000" w:rsidP="00000000" w:rsidRDefault="00000000" w:rsidRPr="00000000" w14:paraId="0000012C">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D">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Значення Ct для ПКЗ повинно дорівнювати 28±4, а НКЗ у всіх каналах повинен бути негативним. В іншому випадку експеримент слід повторити.</w:t>
      </w:r>
      <w:r w:rsidDel="00000000" w:rsidR="00000000" w:rsidRPr="00000000">
        <w:rPr>
          <w:rtl w:val="0"/>
        </w:rPr>
      </w:r>
    </w:p>
    <w:p w:rsidR="00000000" w:rsidDel="00000000" w:rsidP="00000000" w:rsidRDefault="00000000" w:rsidRPr="00000000" w14:paraId="0000012E">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F">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Результати інтерпретувати наступним чином:</w:t>
      </w:r>
      <w:r w:rsidDel="00000000" w:rsidR="00000000" w:rsidRPr="00000000">
        <w:rPr>
          <w:rtl w:val="0"/>
        </w:rPr>
      </w:r>
    </w:p>
    <w:p w:rsidR="00000000" w:rsidDel="00000000" w:rsidP="00000000" w:rsidRDefault="00000000" w:rsidRPr="00000000" w14:paraId="00000130">
      <w:pPr>
        <w:spacing w:after="0" w:line="240" w:lineRule="auto"/>
        <w:jc w:val="both"/>
        <w:rPr>
          <w:rFonts w:ascii="Arial" w:cs="Arial" w:eastAsia="Arial" w:hAnsi="Arial"/>
          <w:color w:val="000000"/>
          <w:sz w:val="20"/>
          <w:szCs w:val="20"/>
        </w:rPr>
      </w:pPr>
      <w:r w:rsidDel="00000000" w:rsidR="00000000" w:rsidRPr="00000000">
        <w:rPr>
          <w:rtl w:val="0"/>
        </w:rPr>
      </w:r>
    </w:p>
    <w:tbl>
      <w:tblPr>
        <w:tblStyle w:val="Table6"/>
        <w:tblW w:w="97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142"/>
        <w:gridCol w:w="2110"/>
        <w:gridCol w:w="3544"/>
        <w:tblGridChange w:id="0">
          <w:tblGrid>
            <w:gridCol w:w="1980"/>
            <w:gridCol w:w="2142"/>
            <w:gridCol w:w="2110"/>
            <w:gridCol w:w="3544"/>
          </w:tblGrid>
        </w:tblGridChange>
      </w:tblGrid>
      <w:tr>
        <w:trPr>
          <w:cantSplit w:val="0"/>
          <w:tblHeader w:val="0"/>
        </w:trPr>
        <w:tc>
          <w:tcPr>
            <w:shd w:fill="7f7f7f" w:val="clear"/>
            <w:vAlign w:val="center"/>
          </w:tcPr>
          <w:p w:rsidR="00000000" w:rsidDel="00000000" w:rsidP="00000000" w:rsidRDefault="00000000" w:rsidRPr="00000000" w14:paraId="0000013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Сигнал по каналу FAM (ДНК ВПЛ високого ризику)</w:t>
            </w:r>
          </w:p>
        </w:tc>
        <w:tc>
          <w:tcPr>
            <w:shd w:fill="7f7f7f" w:val="clear"/>
            <w:vAlign w:val="center"/>
          </w:tcPr>
          <w:p w:rsidR="00000000" w:rsidDel="00000000" w:rsidP="00000000" w:rsidRDefault="00000000" w:rsidRPr="00000000" w14:paraId="0000013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Сигнал по каналу HEX (ДНК ВПЛ низького ризику)</w:t>
            </w:r>
          </w:p>
        </w:tc>
        <w:tc>
          <w:tcPr>
            <w:shd w:fill="7f7f7f" w:val="clear"/>
            <w:vAlign w:val="center"/>
          </w:tcPr>
          <w:p w:rsidR="00000000" w:rsidDel="00000000" w:rsidP="00000000" w:rsidRDefault="00000000" w:rsidRPr="00000000" w14:paraId="00000133">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Сигнал по каналу Cy 5 (</w:t>
            </w:r>
            <w:r w:rsidDel="00000000" w:rsidR="00000000" w:rsidRPr="00000000">
              <w:rPr>
                <w:rFonts w:ascii="Arial" w:cs="Arial" w:eastAsia="Arial" w:hAnsi="Arial"/>
                <w:b w:val="1"/>
                <w:sz w:val="18"/>
                <w:szCs w:val="18"/>
                <w:rtl w:val="0"/>
              </w:rPr>
              <w:t xml:space="preserve">ген РНКази P</w:t>
            </w: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shd w:fill="7f7f7f" w:val="clear"/>
            <w:vAlign w:val="center"/>
          </w:tcPr>
          <w:p w:rsidR="00000000" w:rsidDel="00000000" w:rsidP="00000000" w:rsidRDefault="00000000" w:rsidRPr="00000000" w14:paraId="0000013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Інтерпретація</w:t>
            </w:r>
          </w:p>
          <w:p w:rsidR="00000000" w:rsidDel="00000000" w:rsidP="00000000" w:rsidRDefault="00000000" w:rsidRPr="00000000" w14:paraId="00000135">
            <w:pPr>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3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3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3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Виявлено ДНК одного чи декількох генотипів ВПЛ високого онкогенного ризику: HPV 16, 18, 26, 30, 31, 33, 34, 35, 39, 45, 51, 52, 53, 56, 58, 59, 66, 67, 68, 69, 70, 73, 82 та 97</w:t>
            </w:r>
          </w:p>
        </w:tc>
      </w:tr>
      <w:tr>
        <w:trPr>
          <w:cantSplit w:val="0"/>
          <w:tblHeader w:val="0"/>
        </w:trPr>
        <w:tc>
          <w:tcPr>
            <w:vAlign w:val="center"/>
          </w:tcPr>
          <w:p w:rsidR="00000000" w:rsidDel="00000000" w:rsidP="00000000" w:rsidRDefault="00000000" w:rsidRPr="00000000" w14:paraId="0000013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3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3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3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Виявлено ДНК одного чи обох генотипів ВПЛ низького онкогенного ризику: HPV 6 та 11</w:t>
            </w:r>
          </w:p>
        </w:tc>
      </w:tr>
      <w:tr>
        <w:trPr>
          <w:cantSplit w:val="0"/>
          <w:tblHeader w:val="0"/>
        </w:trPr>
        <w:tc>
          <w:tcPr>
            <w:vAlign w:val="center"/>
          </w:tcPr>
          <w:p w:rsidR="00000000" w:rsidDel="00000000" w:rsidP="00000000" w:rsidRDefault="00000000" w:rsidRPr="00000000" w14:paraId="0000013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3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4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4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Збудник не виявлено</w:t>
            </w:r>
          </w:p>
        </w:tc>
      </w:tr>
      <w:tr>
        <w:trPr>
          <w:cantSplit w:val="0"/>
          <w:tblHeader w:val="0"/>
        </w:trPr>
        <w:tc>
          <w:tcPr>
            <w:vAlign w:val="center"/>
          </w:tcPr>
          <w:p w:rsidR="00000000" w:rsidDel="00000000" w:rsidP="00000000" w:rsidRDefault="00000000" w:rsidRPr="00000000" w14:paraId="0000014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4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4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vAlign w:val="center"/>
          </w:tcPr>
          <w:p w:rsidR="00000000" w:rsidDel="00000000" w:rsidP="00000000" w:rsidRDefault="00000000" w:rsidRPr="00000000" w14:paraId="0000014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Невалідний результат. Зразок слід повторно протестувати </w:t>
            </w:r>
          </w:p>
        </w:tc>
      </w:tr>
    </w:tbl>
    <w:p w:rsidR="00000000" w:rsidDel="00000000" w:rsidP="00000000" w:rsidRDefault="00000000" w:rsidRPr="00000000" w14:paraId="00000146">
      <w:pPr>
        <w:rPr>
          <w:sz w:val="20"/>
          <w:szCs w:val="20"/>
        </w:rPr>
      </w:pPr>
      <w:r w:rsidDel="00000000" w:rsidR="00000000" w:rsidRPr="00000000">
        <w:rPr>
          <w:rtl w:val="0"/>
        </w:rPr>
      </w:r>
    </w:p>
    <w:p w:rsidR="00000000" w:rsidDel="00000000" w:rsidP="00000000" w:rsidRDefault="00000000" w:rsidRPr="00000000" w14:paraId="00000147">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8">
      <w:pPr>
        <w:rPr>
          <w:sz w:val="20"/>
          <w:szCs w:val="2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Інформація для замовлення</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4"/>
          <w:szCs w:val="14"/>
        </w:rPr>
      </w:pPr>
      <w:r w:rsidDel="00000000" w:rsidR="00000000" w:rsidRPr="00000000">
        <w:rPr>
          <w:rtl w:val="0"/>
        </w:rPr>
      </w:r>
    </w:p>
    <w:tbl>
      <w:tblPr>
        <w:tblStyle w:val="Table7"/>
        <w:tblW w:w="8926.000000000002" w:type="dxa"/>
        <w:jc w:val="left"/>
        <w:tblLayout w:type="fixed"/>
        <w:tblLook w:val="0000"/>
      </w:tblPr>
      <w:tblGrid>
        <w:gridCol w:w="3823"/>
        <w:gridCol w:w="1418"/>
        <w:gridCol w:w="1843"/>
        <w:gridCol w:w="1842"/>
        <w:tblGridChange w:id="0">
          <w:tblGrid>
            <w:gridCol w:w="3823"/>
            <w:gridCol w:w="1418"/>
            <w:gridCol w:w="1843"/>
            <w:gridCol w:w="1842"/>
          </w:tblGrid>
        </w:tblGridChange>
      </w:tblGrid>
      <w:tr>
        <w:trPr>
          <w:cantSplit w:val="0"/>
          <w:trHeight w:val="1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Назва продукту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Фасування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Каталожний номер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Штрихкод №</w:t>
            </w:r>
            <w:r w:rsidDel="00000000" w:rsidR="00000000" w:rsidRPr="00000000">
              <w:rPr>
                <w:rtl w:val="0"/>
              </w:rPr>
            </w:r>
          </w:p>
        </w:tc>
      </w:tr>
      <w:tr>
        <w:trPr>
          <w:cantSplit w:val="0"/>
          <w:trHeight w:val="1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RevoDx HPV 26 Screening Kit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before="19" w:line="240" w:lineRule="auto"/>
              <w:ind w:left="10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 </w:t>
            </w:r>
            <w:r w:rsidDel="00000000" w:rsidR="00000000" w:rsidRPr="00000000">
              <w:rPr>
                <w:rFonts w:ascii="Arial" w:cs="Arial" w:eastAsia="Arial" w:hAnsi="Arial"/>
                <w:sz w:val="20"/>
                <w:szCs w:val="20"/>
                <w:rtl w:val="0"/>
              </w:rPr>
              <w:t xml:space="preserve">тестів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before="20" w:line="240" w:lineRule="auto"/>
              <w:ind w:left="105"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IP202222-25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8683079717332</w:t>
            </w:r>
          </w:p>
        </w:tc>
      </w:tr>
      <w:tr>
        <w:trPr>
          <w:cantSplit w:val="0"/>
          <w:trHeight w:val="1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RevoDx HPV 26 Screening Kit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before="20" w:line="240" w:lineRule="auto"/>
              <w:ind w:left="10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 </w:t>
            </w:r>
            <w:r w:rsidDel="00000000" w:rsidR="00000000" w:rsidRPr="00000000">
              <w:rPr>
                <w:rFonts w:ascii="Arial" w:cs="Arial" w:eastAsia="Arial" w:hAnsi="Arial"/>
                <w:sz w:val="20"/>
                <w:szCs w:val="20"/>
                <w:rtl w:val="0"/>
              </w:rPr>
              <w:t xml:space="preserve">тестів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before="20" w:line="240" w:lineRule="auto"/>
              <w:ind w:left="105"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IP202222-100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8683079717349</w:t>
            </w:r>
          </w:p>
        </w:tc>
      </w:tr>
    </w:tbl>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sz w:val="20"/>
          <w:szCs w:val="20"/>
        </w:rPr>
      </w:pPr>
      <w:r w:rsidDel="00000000" w:rsidR="00000000" w:rsidRPr="00000000">
        <w:rPr>
          <w:rtl w:val="0"/>
        </w:rPr>
      </w:r>
    </w:p>
    <w:sectPr>
      <w:headerReference r:id="rId10" w:type="first"/>
      <w:footerReference r:id="rId11" w:type="default"/>
      <w:pgSz w:h="16838" w:w="11906" w:orient="portrait"/>
      <w:pgMar w:bottom="1417" w:top="1417" w:left="1417" w:right="141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Mangal"/>
  <w:font w:name="Times New Roman"/>
  <w:font w:name="Cambria"/>
  <w:font w:name="Courier New"/>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8"/>
      <w:tblW w:w="9928.0" w:type="dxa"/>
      <w:jc w:val="left"/>
      <w:tblInd w:w="-5.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7"/>
      <w:gridCol w:w="3029"/>
      <w:gridCol w:w="1985"/>
      <w:gridCol w:w="3827"/>
      <w:tblGridChange w:id="0">
        <w:tblGrid>
          <w:gridCol w:w="1087"/>
          <w:gridCol w:w="3029"/>
          <w:gridCol w:w="1985"/>
          <w:gridCol w:w="3827"/>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E">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F">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tl w:val="0"/>
            </w:rPr>
          </w:r>
        </w:p>
        <w:p w:rsidR="00000000" w:rsidDel="00000000" w:rsidP="00000000" w:rsidRDefault="00000000" w:rsidRPr="00000000" w14:paraId="00000160">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Fonts w:ascii="Calibri" w:cs="Calibri" w:eastAsia="Calibri" w:hAnsi="Calibri"/>
              <w:color w:val="333333"/>
              <w:sz w:val="14"/>
              <w:szCs w:val="14"/>
              <w:rtl w:val="0"/>
            </w:rPr>
            <w:t xml:space="preserve">İDİL BİOTECH ARAŞTIRMA SAN. VE TİC. LTD. ŞTİ.</w:t>
          </w:r>
        </w:p>
        <w:p w:rsidR="00000000" w:rsidDel="00000000" w:rsidP="00000000" w:rsidRDefault="00000000" w:rsidRPr="00000000" w14:paraId="00000161">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14"/>
              <w:szCs w:val="14"/>
            </w:rPr>
          </w:pPr>
          <w:r w:rsidDel="00000000" w:rsidR="00000000" w:rsidRPr="00000000">
            <w:rPr>
              <w:rFonts w:ascii="Calibri" w:cs="Calibri" w:eastAsia="Calibri" w:hAnsi="Calibri"/>
              <w:color w:val="333333"/>
              <w:sz w:val="14"/>
              <w:szCs w:val="14"/>
              <w:rtl w:val="0"/>
            </w:rPr>
            <w:t xml:space="preserve">Barış SB Mah. 5003 Sk Kadir Has Binası Kısım A No: 2 İç Kapı No: Z14 Gebze-Kocaeli-TURKEY</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2">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tl w:val="0"/>
            </w:rPr>
          </w:r>
        </w:p>
        <w:p w:rsidR="00000000" w:rsidDel="00000000" w:rsidP="00000000" w:rsidRDefault="00000000" w:rsidRPr="00000000" w14:paraId="00000163">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Fonts w:ascii="Calibri" w:cs="Calibri" w:eastAsia="Calibri" w:hAnsi="Calibri"/>
              <w:color w:val="333333"/>
              <w:sz w:val="14"/>
              <w:szCs w:val="14"/>
              <w:rtl w:val="0"/>
            </w:rPr>
            <w:t xml:space="preserve">Телефон: +90 262 644 1614</w:t>
          </w:r>
        </w:p>
        <w:p w:rsidR="00000000" w:rsidDel="00000000" w:rsidP="00000000" w:rsidRDefault="00000000" w:rsidRPr="00000000" w14:paraId="00000164">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Fonts w:ascii="Calibri" w:cs="Calibri" w:eastAsia="Calibri" w:hAnsi="Calibri"/>
              <w:color w:val="333333"/>
              <w:sz w:val="14"/>
              <w:szCs w:val="14"/>
              <w:rtl w:val="0"/>
            </w:rPr>
            <w:t xml:space="preserve">Електронна адреса: info@idilbiotech.com</w:t>
          </w:r>
        </w:p>
        <w:p w:rsidR="00000000" w:rsidDel="00000000" w:rsidP="00000000" w:rsidRDefault="00000000" w:rsidRPr="00000000" w14:paraId="00000165">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Fonts w:ascii="Calibri" w:cs="Calibri" w:eastAsia="Calibri" w:hAnsi="Calibri"/>
              <w:color w:val="333333"/>
              <w:sz w:val="14"/>
              <w:szCs w:val="14"/>
              <w:rtl w:val="0"/>
            </w:rPr>
            <w:t xml:space="preserve">http://www.idilbiotech.com/</w:t>
          </w:r>
        </w:p>
        <w:p w:rsidR="00000000" w:rsidDel="00000000" w:rsidP="00000000" w:rsidRDefault="00000000" w:rsidRPr="00000000" w14:paraId="00000166">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7">
          <w:pPr>
            <w:widowControl w:val="1"/>
            <w:pBdr>
              <w:top w:space="0" w:sz="0" w:val="nil"/>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333333"/>
              <w:sz w:val="14"/>
              <w:szCs w:val="14"/>
            </w:rPr>
          </w:pPr>
          <w:r w:rsidDel="00000000" w:rsidR="00000000" w:rsidRPr="00000000">
            <w:rPr>
              <w:rtl w:val="0"/>
            </w:rPr>
          </w:r>
        </w:p>
        <w:p w:rsidR="00000000" w:rsidDel="00000000" w:rsidP="00000000" w:rsidRDefault="00000000" w:rsidRPr="00000000" w14:paraId="00000168">
          <w:pPr>
            <w:widowControl w:val="1"/>
            <w:pBdr>
              <w:top w:space="0" w:sz="0" w:val="nil"/>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333333"/>
              <w:sz w:val="14"/>
              <w:szCs w:val="14"/>
            </w:rPr>
          </w:pPr>
          <w:r w:rsidDel="00000000" w:rsidR="00000000" w:rsidRPr="00000000">
            <w:rPr>
              <w:rFonts w:ascii="Calibri" w:cs="Calibri" w:eastAsia="Calibri" w:hAnsi="Calibri"/>
              <w:color w:val="333333"/>
              <w:sz w:val="14"/>
              <w:szCs w:val="14"/>
              <w:rtl w:val="0"/>
            </w:rPr>
            <w:t xml:space="preserve">Док.№ / Ред. № : KK202222/ 002</w:t>
          </w:r>
        </w:p>
        <w:p w:rsidR="00000000" w:rsidDel="00000000" w:rsidP="00000000" w:rsidRDefault="00000000" w:rsidRPr="00000000" w14:paraId="00000169">
          <w:pPr>
            <w:widowControl w:val="1"/>
            <w:pBdr>
              <w:top w:space="0" w:sz="0" w:val="nil"/>
              <w:left w:space="0" w:sz="0" w:val="nil"/>
              <w:bottom w:space="0" w:sz="0" w:val="nil"/>
              <w:right w:space="0" w:sz="0" w:val="nil"/>
              <w:between w:space="0" w:sz="0" w:val="nil"/>
            </w:pBdr>
            <w:tabs>
              <w:tab w:val="center" w:leader="none" w:pos="4536"/>
              <w:tab w:val="right" w:leader="none" w:pos="9072"/>
              <w:tab w:val="right" w:leader="none" w:pos="2901"/>
            </w:tabs>
            <w:jc w:val="right"/>
            <w:rPr>
              <w:rFonts w:ascii="Calibri" w:cs="Calibri" w:eastAsia="Calibri" w:hAnsi="Calibri"/>
              <w:color w:val="333333"/>
              <w:sz w:val="14"/>
              <w:szCs w:val="14"/>
            </w:rPr>
          </w:pPr>
          <w:r w:rsidDel="00000000" w:rsidR="00000000" w:rsidRPr="00000000">
            <w:rPr>
              <w:rFonts w:ascii="Cambria" w:cs="Cambria" w:eastAsia="Cambria" w:hAnsi="Cambria"/>
              <w:color w:val="333333"/>
              <w:sz w:val="14"/>
              <w:szCs w:val="14"/>
              <w:rtl w:val="0"/>
            </w:rPr>
            <w:t xml:space="preserve">Дата створення / Дата ред</w:t>
          </w:r>
          <w:r w:rsidDel="00000000" w:rsidR="00000000" w:rsidRPr="00000000">
            <w:rPr>
              <w:rFonts w:ascii="Calibri" w:cs="Calibri" w:eastAsia="Calibri" w:hAnsi="Calibri"/>
              <w:color w:val="333333"/>
              <w:sz w:val="14"/>
              <w:szCs w:val="14"/>
              <w:rtl w:val="0"/>
            </w:rPr>
            <w:t xml:space="preserve"> : 05.05.2022 / / 06.05.2023</w:t>
          </w:r>
        </w:p>
      </w:tc>
    </w:tr>
  </w:tbl>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-620156</wp:posOffset>
          </wp:positionH>
          <wp:positionV relativeFrom="paragraph">
            <wp:posOffset>-601978</wp:posOffset>
          </wp:positionV>
          <wp:extent cx="774700" cy="504190"/>
          <wp:effectExtent b="0" l="0" r="0" t="0"/>
          <wp:wrapNone/>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4700" cy="504190"/>
                  </a:xfrm>
                  <a:prstGeom prst="rect"/>
                  <a:ln/>
                </pic:spPr>
              </pic:pic>
            </a:graphicData>
          </a:graphic>
        </wp:anchor>
      </w:drawing>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page">
            <wp:posOffset>398145</wp:posOffset>
          </wp:positionH>
          <wp:positionV relativeFrom="page">
            <wp:posOffset>431165</wp:posOffset>
          </wp:positionV>
          <wp:extent cx="858520" cy="661670"/>
          <wp:effectExtent b="0" l="0" r="0" t="0"/>
          <wp:wrapNone/>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58520" cy="661670"/>
                  </a:xfrm>
                  <a:prstGeom prst="rect"/>
                  <a:ln/>
                </pic:spPr>
              </pic:pic>
            </a:graphicData>
          </a:graphic>
        </wp:anchor>
      </w:drawing>
    </w:r>
    <w:r w:rsidDel="00000000" w:rsidR="00000000" w:rsidRPr="00000000">
      <w:rPr>
        <w:color w:val="000000"/>
      </w:rPr>
      <mc:AlternateContent>
        <mc:Choice Requires="wpg">
          <w:drawing>
            <wp:anchor allowOverlap="1" behindDoc="0" distB="36576" distT="36576" distL="36576" distR="36576" hidden="0" layoutInCell="1" locked="0" relativeHeight="0" simplePos="0">
              <wp:simplePos x="0" y="0"/>
              <wp:positionH relativeFrom="page">
                <wp:posOffset>472441</wp:posOffset>
              </wp:positionH>
              <wp:positionV relativeFrom="page">
                <wp:posOffset>657861</wp:posOffset>
              </wp:positionV>
              <wp:extent cx="6877050" cy="434340"/>
              <wp:effectExtent b="0" l="0" r="0" t="0"/>
              <wp:wrapNone/>
              <wp:docPr id="6" name=""/>
              <a:graphic>
                <a:graphicData uri="http://schemas.microsoft.com/office/word/2010/wordprocessingShape">
                  <wps:wsp>
                    <wps:cNvSpPr/>
                    <wps:cNvPr id="2" name="Shape 2"/>
                    <wps:spPr>
                      <a:xfrm>
                        <a:off x="1917000" y="3572355"/>
                        <a:ext cx="6858000" cy="415290"/>
                      </a:xfrm>
                      <a:prstGeom prst="rect">
                        <a:avLst/>
                      </a:prstGeom>
                      <a:noFill/>
                      <a:ln>
                        <a:noFill/>
                      </a:ln>
                    </wps:spPr>
                    <wps:txbx>
                      <w:txbxContent>
                        <w:p w:rsidR="00000000" w:rsidDel="00000000" w:rsidP="00000000" w:rsidRDefault="00000000" w:rsidRPr="00000000">
                          <w:pPr>
                            <w:spacing w:after="180" w:before="0" w:line="268.00000190734863"/>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İDİL BİOTECH ARAŞTIRMA SAN. VE TİC. LTD. ŞTİ.</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page">
                <wp:posOffset>472441</wp:posOffset>
              </wp:positionH>
              <wp:positionV relativeFrom="page">
                <wp:posOffset>657861</wp:posOffset>
              </wp:positionV>
              <wp:extent cx="6877050" cy="434340"/>
              <wp:effectExtent b="0" l="0" r="0" t="0"/>
              <wp:wrapNone/>
              <wp:docPr id="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877050" cy="434340"/>
                      </a:xfrm>
                      <a:prstGeom prst="rect"/>
                      <a:ln/>
                    </pic:spPr>
                  </pic:pic>
                </a:graphicData>
              </a:graphic>
            </wp:anchor>
          </w:drawing>
        </mc:Fallback>
      </mc:AlternateContent>
    </w: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488315</wp:posOffset>
              </wp:positionH>
              <wp:positionV relativeFrom="page">
                <wp:posOffset>978535</wp:posOffset>
              </wp:positionV>
              <wp:extent cx="6858000" cy="118745"/>
              <wp:effectExtent b="0" l="0" r="0" t="0"/>
              <wp:wrapNone/>
              <wp:docPr descr="düzey çubukları" id="7" name=""/>
              <a:graphic>
                <a:graphicData uri="http://schemas.microsoft.com/office/word/2010/wordprocessingGroup">
                  <wpg:wgp>
                    <wpg:cNvGrpSpPr/>
                    <wpg:grpSpPr>
                      <a:xfrm>
                        <a:off x="1917000" y="3720625"/>
                        <a:ext cx="6858000" cy="118745"/>
                        <a:chOff x="1917000" y="3720625"/>
                        <a:chExt cx="6858000" cy="118750"/>
                      </a:xfrm>
                    </wpg:grpSpPr>
                    <wpg:grpSp>
                      <wpg:cNvGrpSpPr/>
                      <wpg:grpSpPr>
                        <a:xfrm>
                          <a:off x="1917000" y="3720628"/>
                          <a:ext cx="6858000" cy="118745"/>
                          <a:chOff x="1917000" y="3720625"/>
                          <a:chExt cx="6858025" cy="118850"/>
                        </a:xfrm>
                      </wpg:grpSpPr>
                      <wps:wsp>
                        <wps:cNvSpPr/>
                        <wps:cNvPr id="4" name="Shape 4"/>
                        <wps:spPr>
                          <a:xfrm>
                            <a:off x="1917000" y="3720625"/>
                            <a:ext cx="6858025" cy="118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720628"/>
                            <a:ext cx="6858000" cy="118845"/>
                            <a:chOff x="194310" y="186903"/>
                            <a:chExt cx="68580" cy="1189"/>
                          </a:xfrm>
                        </wpg:grpSpPr>
                        <wps:wsp>
                          <wps:cNvSpPr/>
                          <wps:cNvPr id="6" name="Shape 6"/>
                          <wps:spPr>
                            <a:xfrm>
                              <a:off x="194310" y="186903"/>
                              <a:ext cx="68575" cy="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94310" y="186903"/>
                              <a:ext cx="22860" cy="1189"/>
                            </a:xfrm>
                            <a:prstGeom prst="rect">
                              <a:avLst/>
                            </a:prstGeom>
                            <a:solidFill>
                              <a:srgbClr val="8DA9D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17170" y="186903"/>
                              <a:ext cx="22860" cy="1189"/>
                            </a:xfrm>
                            <a:prstGeom prst="rect">
                              <a:avLst/>
                            </a:prstGeom>
                            <a:solidFill>
                              <a:srgbClr val="8296B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40030" y="186903"/>
                              <a:ext cx="22860" cy="1189"/>
                            </a:xfrm>
                            <a:prstGeom prst="rect">
                              <a:avLst/>
                            </a:prstGeom>
                            <a:solidFill>
                              <a:srgbClr val="6666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488315</wp:posOffset>
              </wp:positionH>
              <wp:positionV relativeFrom="page">
                <wp:posOffset>978535</wp:posOffset>
              </wp:positionV>
              <wp:extent cx="6858000" cy="118745"/>
              <wp:effectExtent b="0" l="0" r="0" t="0"/>
              <wp:wrapNone/>
              <wp:docPr descr="düzey çubukları" id="7" name="image6.png"/>
              <a:graphic>
                <a:graphicData uri="http://schemas.openxmlformats.org/drawingml/2006/picture">
                  <pic:pic>
                    <pic:nvPicPr>
                      <pic:cNvPr descr="düzey çubukları" id="0" name="image6.png"/>
                      <pic:cNvPicPr preferRelativeResize="0"/>
                    </pic:nvPicPr>
                    <pic:blipFill>
                      <a:blip r:embed="rId3"/>
                      <a:srcRect/>
                      <a:stretch>
                        <a:fillRect/>
                      </a:stretch>
                    </pic:blipFill>
                    <pic:spPr>
                      <a:xfrm>
                        <a:off x="0" y="0"/>
                        <a:ext cx="6858000" cy="1187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80" w:line="268" w:lineRule="auto"/>
      <w:jc w:val="center"/>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180" w:line="268" w:lineRule="auto"/>
      <w:jc w:val="center"/>
      <w:outlineLvl w:val="0"/>
    </w:pPr>
    <w:rPr>
      <w:rFonts w:ascii="Arial" w:cs="Arial" w:eastAsia="Arial" w:hAnsi="Arial"/>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table" w:styleId="a1"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table" w:styleId="a2"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table" w:styleId="a5" w:customStyle="1">
    <w:basedOn w:val="TableNormal"/>
    <w:tblPr>
      <w:tblStyleRowBandSize w:val="1"/>
      <w:tblStyleColBandSize w:val="1"/>
      <w:tblCellMar>
        <w:left w:w="10.0" w:type="dxa"/>
        <w:right w:w="10.0" w:type="dxa"/>
      </w:tblCellMar>
    </w:tblPr>
  </w:style>
  <w:style w:type="table" w:styleId="a6"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paragraph" w:styleId="Header">
    <w:name w:val="header"/>
    <w:basedOn w:val="Normal"/>
    <w:link w:val="HeaderChar"/>
    <w:uiPriority w:val="99"/>
    <w:unhideWhenUsed w:val="1"/>
    <w:rsid w:val="00CF5811"/>
    <w:pPr>
      <w:tabs>
        <w:tab w:val="center" w:pos="4677"/>
        <w:tab w:val="right" w:pos="9355"/>
      </w:tabs>
      <w:spacing w:after="0" w:line="240" w:lineRule="auto"/>
    </w:pPr>
  </w:style>
  <w:style w:type="character" w:styleId="HeaderChar" w:customStyle="1">
    <w:name w:val="Header Char"/>
    <w:basedOn w:val="DefaultParagraphFont"/>
    <w:link w:val="Header"/>
    <w:uiPriority w:val="99"/>
    <w:rsid w:val="00CF5811"/>
  </w:style>
  <w:style w:type="paragraph" w:styleId="Footer">
    <w:name w:val="footer"/>
    <w:basedOn w:val="Normal"/>
    <w:link w:val="FooterChar"/>
    <w:uiPriority w:val="99"/>
    <w:unhideWhenUsed w:val="1"/>
    <w:rsid w:val="00CF5811"/>
    <w:pPr>
      <w:tabs>
        <w:tab w:val="center" w:pos="4677"/>
        <w:tab w:val="right" w:pos="9355"/>
      </w:tabs>
      <w:spacing w:after="0" w:line="240" w:lineRule="auto"/>
    </w:pPr>
  </w:style>
  <w:style w:type="character" w:styleId="FooterChar" w:customStyle="1">
    <w:name w:val="Footer Char"/>
    <w:basedOn w:val="DefaultParagraphFont"/>
    <w:link w:val="Footer"/>
    <w:uiPriority w:val="99"/>
    <w:rsid w:val="00CF581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2">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3">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4">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5">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6">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7">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8">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5.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7xnJxHoo6i1s+nPuT+DA6NJWg==">CgMxLjAyCGguZ2pkZ3hzMgloLjMwajB6bGwyCWguMWZvYjl0ZTIJaC4zem55c2g3MgloLjJldDkycDAyDmguajVzMmswaHpzZ3M4Mg5oLnRkdmcxbjEwdXR3cjIJaC4zZHk2dmttMgloLjRkMzRvZzgyCWguMnM4ZXlvMTIJaC4zcmRjcmpuMg5oLnNrYnkxdDEyd2I1YzgAciExU3g0Z0ZXUXNBV1FIVmtvcHl2a3YtUlVoeUp5ZlpPWDU=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2024-01-16T13:23:00Z</dcterms:created>
  <dc:creator>Зоя</dc:creator>
</cp:coreProperties>
</file>